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E5" w:rsidRPr="00294EE5" w:rsidRDefault="00294EE5" w:rsidP="00294EE5">
      <w:pPr>
        <w:tabs>
          <w:tab w:val="left" w:pos="187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 w:rsidRPr="00294EE5">
        <w:rPr>
          <w:rFonts w:ascii="Calibri,Bold" w:hAnsi="Calibri,Bold" w:cs="Calibri,Bold"/>
          <w:b/>
          <w:bCs/>
          <w:color w:val="000000"/>
          <w:sz w:val="16"/>
          <w:szCs w:val="16"/>
        </w:rPr>
        <w:t xml:space="preserve">Allegato “F” </w:t>
      </w:r>
    </w:p>
    <w:p w:rsidR="00294EE5" w:rsidRDefault="00294EE5" w:rsidP="00294EE5">
      <w:pPr>
        <w:tabs>
          <w:tab w:val="left" w:pos="187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52"/>
          <w:szCs w:val="52"/>
        </w:rPr>
      </w:pPr>
      <w:r>
        <w:rPr>
          <w:rFonts w:ascii="Calibri,Bold" w:hAnsi="Calibri,Bold" w:cs="Calibri,Bold"/>
          <w:b/>
          <w:bCs/>
          <w:color w:val="000000"/>
          <w:sz w:val="52"/>
          <w:szCs w:val="52"/>
        </w:rPr>
        <w:tab/>
      </w:r>
    </w:p>
    <w:p w:rsidR="00F36432" w:rsidRDefault="00294EE5" w:rsidP="00294EE5">
      <w:pPr>
        <w:tabs>
          <w:tab w:val="left" w:pos="187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52"/>
          <w:szCs w:val="52"/>
        </w:rPr>
      </w:pPr>
      <w:r>
        <w:rPr>
          <w:rFonts w:ascii="Calibri,Bold" w:hAnsi="Calibri,Bold" w:cs="Calibri,Bold"/>
          <w:b/>
          <w:bCs/>
          <w:color w:val="000000"/>
          <w:sz w:val="52"/>
          <w:szCs w:val="52"/>
        </w:rPr>
        <w:tab/>
      </w:r>
      <w:r w:rsidR="00F36432">
        <w:rPr>
          <w:rFonts w:ascii="Calibri,Bold" w:hAnsi="Calibri,Bold" w:cs="Calibri,Bold"/>
          <w:b/>
          <w:bCs/>
          <w:color w:val="000000"/>
          <w:sz w:val="52"/>
          <w:szCs w:val="52"/>
        </w:rPr>
        <w:t xml:space="preserve">COMUNE </w:t>
      </w:r>
      <w:proofErr w:type="spellStart"/>
      <w:r w:rsidR="00F36432">
        <w:rPr>
          <w:rFonts w:ascii="Calibri,Bold" w:hAnsi="Calibri,Bold" w:cs="Calibri,Bold"/>
          <w:b/>
          <w:bCs/>
          <w:color w:val="000000"/>
          <w:sz w:val="52"/>
          <w:szCs w:val="52"/>
        </w:rPr>
        <w:t>DI</w:t>
      </w:r>
      <w:proofErr w:type="spellEnd"/>
      <w:r w:rsidR="00F36432">
        <w:rPr>
          <w:rFonts w:ascii="Calibri,Bold" w:hAnsi="Calibri,Bold" w:cs="Calibri,Bold"/>
          <w:b/>
          <w:bCs/>
          <w:color w:val="000000"/>
          <w:sz w:val="52"/>
          <w:szCs w:val="52"/>
        </w:rPr>
        <w:t xml:space="preserve"> </w:t>
      </w:r>
      <w:r w:rsidR="00C230A8">
        <w:rPr>
          <w:rFonts w:ascii="Calibri,Bold" w:hAnsi="Calibri,Bold" w:cs="Calibri,Bold"/>
          <w:b/>
          <w:bCs/>
          <w:color w:val="000000"/>
          <w:sz w:val="52"/>
          <w:szCs w:val="52"/>
        </w:rPr>
        <w:t>SCILLATO</w:t>
      </w:r>
    </w:p>
    <w:p w:rsidR="00F36432" w:rsidRDefault="00F36432" w:rsidP="00C230A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52"/>
          <w:szCs w:val="52"/>
        </w:rPr>
      </w:pPr>
      <w:r>
        <w:rPr>
          <w:rFonts w:ascii="Calibri,Bold" w:hAnsi="Calibri,Bold" w:cs="Calibri,Bold"/>
          <w:b/>
          <w:bCs/>
          <w:color w:val="000000"/>
          <w:sz w:val="52"/>
          <w:szCs w:val="52"/>
        </w:rPr>
        <w:t xml:space="preserve">Provincia di </w:t>
      </w:r>
      <w:r w:rsidR="00C230A8">
        <w:rPr>
          <w:rFonts w:ascii="Calibri,Bold" w:hAnsi="Calibri,Bold" w:cs="Calibri,Bold"/>
          <w:b/>
          <w:bCs/>
          <w:color w:val="000000"/>
          <w:sz w:val="52"/>
          <w:szCs w:val="52"/>
        </w:rPr>
        <w:t>PALERMO</w:t>
      </w:r>
    </w:p>
    <w:p w:rsidR="00F36432" w:rsidRDefault="00F36432" w:rsidP="00C230A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56"/>
          <w:szCs w:val="56"/>
        </w:rPr>
      </w:pPr>
      <w:r>
        <w:rPr>
          <w:rFonts w:ascii="Calibri,Bold" w:hAnsi="Calibri,Bold" w:cs="Calibri,Bold"/>
          <w:b/>
          <w:bCs/>
          <w:color w:val="000000"/>
          <w:sz w:val="56"/>
          <w:szCs w:val="56"/>
        </w:rPr>
        <w:t xml:space="preserve">BILANCIO </w:t>
      </w:r>
      <w:proofErr w:type="spellStart"/>
      <w:r>
        <w:rPr>
          <w:rFonts w:ascii="Calibri,Bold" w:hAnsi="Calibri,Bold" w:cs="Calibri,Bold"/>
          <w:b/>
          <w:bCs/>
          <w:color w:val="000000"/>
          <w:sz w:val="56"/>
          <w:szCs w:val="56"/>
        </w:rPr>
        <w:t>DI</w:t>
      </w:r>
      <w:proofErr w:type="spellEnd"/>
      <w:r>
        <w:rPr>
          <w:rFonts w:ascii="Calibri,Bold" w:hAnsi="Calibri,Bold" w:cs="Calibri,Bold"/>
          <w:b/>
          <w:bCs/>
          <w:color w:val="000000"/>
          <w:sz w:val="56"/>
          <w:szCs w:val="56"/>
        </w:rPr>
        <w:t xml:space="preserve"> PREVISIONE</w:t>
      </w:r>
    </w:p>
    <w:p w:rsidR="00F36432" w:rsidRDefault="00F36432" w:rsidP="00C230A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56"/>
          <w:szCs w:val="56"/>
        </w:rPr>
      </w:pPr>
      <w:r>
        <w:rPr>
          <w:rFonts w:ascii="Calibri,Bold" w:hAnsi="Calibri,Bold" w:cs="Calibri,Bold"/>
          <w:b/>
          <w:bCs/>
          <w:color w:val="000000"/>
          <w:sz w:val="56"/>
          <w:szCs w:val="56"/>
        </w:rPr>
        <w:t>2016 - 2018</w:t>
      </w:r>
    </w:p>
    <w:p w:rsidR="00F36432" w:rsidRDefault="00F36432" w:rsidP="00C230A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</w:rPr>
        <w:t>NOTA INTEGRATIVA</w:t>
      </w:r>
    </w:p>
    <w:p w:rsidR="00F36432" w:rsidRDefault="00F36432" w:rsidP="00F3643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Premessa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31F20"/>
          <w:sz w:val="24"/>
          <w:szCs w:val="24"/>
        </w:rPr>
      </w:pPr>
      <w:r>
        <w:rPr>
          <w:rFonts w:ascii="Calibri" w:hAnsi="Calibri" w:cs="Calibri"/>
          <w:color w:val="231F20"/>
          <w:sz w:val="24"/>
          <w:szCs w:val="24"/>
        </w:rPr>
        <w:t>Il principio contabile applicato concernente la programmazione di bilancio (allegato 4/1 del d.lgs.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31F20"/>
          <w:sz w:val="24"/>
          <w:szCs w:val="24"/>
        </w:rPr>
      </w:pPr>
      <w:r>
        <w:rPr>
          <w:rFonts w:ascii="Calibri" w:hAnsi="Calibri" w:cs="Calibri"/>
          <w:color w:val="231F20"/>
          <w:sz w:val="24"/>
          <w:szCs w:val="24"/>
        </w:rPr>
        <w:t>118/2011) prevede, per gli enti che adottano la contabilità finanziaria potenziata, la stesura della nota</w:t>
      </w:r>
      <w:r w:rsidR="00C230A8">
        <w:rPr>
          <w:rFonts w:ascii="Calibri" w:hAnsi="Calibri" w:cs="Calibri"/>
          <w:color w:val="231F20"/>
          <w:sz w:val="24"/>
          <w:szCs w:val="24"/>
        </w:rPr>
        <w:t xml:space="preserve"> </w:t>
      </w:r>
      <w:r>
        <w:rPr>
          <w:rFonts w:ascii="Calibri" w:hAnsi="Calibri" w:cs="Calibri"/>
          <w:color w:val="231F20"/>
          <w:sz w:val="24"/>
          <w:szCs w:val="24"/>
        </w:rPr>
        <w:t>integrativa al bilancio di previsione, ovvero una relazione esplicativa dei contenuti del bilancio.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31F20"/>
          <w:sz w:val="24"/>
          <w:szCs w:val="24"/>
        </w:rPr>
      </w:pPr>
      <w:r>
        <w:rPr>
          <w:rFonts w:ascii="Calibri" w:hAnsi="Calibri" w:cs="Calibri"/>
          <w:color w:val="231F20"/>
          <w:sz w:val="24"/>
          <w:szCs w:val="24"/>
        </w:rPr>
        <w:t xml:space="preserve">Il nuovo sistema contabile armonizzato disciplinato dal D.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lgs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. 118/2011 e dal </w:t>
      </w:r>
      <w:proofErr w:type="spellStart"/>
      <w:r>
        <w:rPr>
          <w:rFonts w:ascii="Calibri" w:hAnsi="Calibri" w:cs="Calibri"/>
          <w:color w:val="231F20"/>
          <w:sz w:val="24"/>
          <w:szCs w:val="24"/>
        </w:rPr>
        <w:t>D.P.C.M.</w:t>
      </w:r>
      <w:proofErr w:type="spellEnd"/>
      <w:r>
        <w:rPr>
          <w:rFonts w:ascii="Calibri" w:hAnsi="Calibri" w:cs="Calibri"/>
          <w:color w:val="231F20"/>
          <w:sz w:val="24"/>
          <w:szCs w:val="24"/>
        </w:rPr>
        <w:t xml:space="preserve"> 28/12/2011 ha</w:t>
      </w:r>
      <w:r w:rsidR="00C230A8">
        <w:rPr>
          <w:rFonts w:ascii="Calibri" w:hAnsi="Calibri" w:cs="Calibri"/>
          <w:color w:val="231F20"/>
          <w:sz w:val="24"/>
          <w:szCs w:val="24"/>
        </w:rPr>
        <w:t xml:space="preserve"> </w:t>
      </w:r>
      <w:r>
        <w:rPr>
          <w:rFonts w:ascii="Calibri" w:hAnsi="Calibri" w:cs="Calibri"/>
          <w:color w:val="231F20"/>
          <w:sz w:val="24"/>
          <w:szCs w:val="24"/>
        </w:rPr>
        <w:t>comportato una serie di innovazioni dal punto di vista finanziario e contabile nonché programmatico</w:t>
      </w:r>
      <w:r w:rsidR="00C230A8">
        <w:rPr>
          <w:rFonts w:ascii="Calibri" w:hAnsi="Calibri" w:cs="Calibri"/>
          <w:color w:val="231F20"/>
          <w:sz w:val="24"/>
          <w:szCs w:val="24"/>
        </w:rPr>
        <w:t xml:space="preserve"> </w:t>
      </w:r>
      <w:r>
        <w:rPr>
          <w:rFonts w:ascii="Calibri" w:hAnsi="Calibri" w:cs="Calibri"/>
          <w:color w:val="231F20"/>
          <w:sz w:val="24"/>
          <w:szCs w:val="24"/>
        </w:rPr>
        <w:t>gestionale di cui le più importanti sono: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1. nuovi schemi di bilancio con una diversa struttura delle entrate e delle spese;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2. previsione delle entrate e delle spese in termini di cassa per il primo esercizio di riferimento;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3. diverse attribuzioni in termini di variazioni di bilancio; quelle relative alla cassa e alle spese di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personale per modifica delle assegnazione interne ai Servizi diventano di competenza della Giunta;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4. nuovi principi contabili, tra i quali quello della competenza finanziaria potenziata che comporta, tra</w:t>
      </w:r>
      <w:r w:rsidR="00C230A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l'altro, la costituzione obbligatoria secondo specifiche regole del Fondo Crediti di Dubbia Esigibilità</w:t>
      </w:r>
      <w:r w:rsidR="00C230A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(FCDE, ex Fondo Svalutazione Crediti) e del Fondo Pluriennale Vincolato (FPV);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5. previsione di nuovi piani dei conti integrati sia a livello finanziario che a livello economico</w:t>
      </w:r>
      <w:r w:rsidR="00C230A8"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patrimoniale;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6. nuovo Documento Unico di Programmazione DUP in sostituzione della Relazione Previsionale e</w:t>
      </w:r>
    </w:p>
    <w:p w:rsidR="00C230A8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Programmatica.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Tutte le predette innovazioni sono contenute nei nuovi principi contabili consultabili sul sito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appositamente predisposto dalla Ragioneria Generale dello Stato: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FF"/>
          <w:sz w:val="24"/>
          <w:szCs w:val="24"/>
        </w:rPr>
        <w:t>http://www.rgs.mef.gov.it/VERSIONE-I/e-GOVERNME1/ARCONET/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Tra i nuovi allegati da predisporre è stata inserita la “nota integrativa”, un documento con il quale si</w:t>
      </w:r>
      <w:r w:rsidR="00C230A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completano ed arricchiscono le informazioni del bilancio.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nota integrativa ha la funzione di integrare i dati quantitativi esposti negli schemi di bilancio al fine di</w:t>
      </w:r>
      <w:r w:rsidR="00C230A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rendere più chiara e significativa la lettura dello stesso.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nota integrativa al bilancio di previsione  presenta almeno i seguenti contenuti: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1. i criteri di valutazione adottati per la formulazione delle previsioni, con particolare riferimento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agli stanziamenti riguardanti gli accantonamenti per le spese potenziali e al fondo crediti di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dubbia esigibilità, dando illustrazione dei crediti per i quali non è previsto l’accantonamento a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tale fondo;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2. L’elenco analitico delle quote vincolate e accantonate del risultato di amministrazione presunto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 31 dicembre dell’esercizio precedente, distinguendo i vincoli derivanti dalla legge e dai principi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contabili, dai trasferimenti, da mutui e altri finanziamenti, vincoli formalmente attribuiti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dall’ente;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3. L’elenco analitico degli utilizzi delle quote vincolate e accantonate del risultato di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amministrazione presunto, distinguendo i vincoli derivanti dalla legge e dai principi contabili, dai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trasferimenti, da mutui e altri finanziamenti, vincoli formalmente attribuiti dall’ente;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4. L’elenco degli interventi programmati per spese di investimento finanziati col ricorso al debito e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 le risorse disponibili;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5. Nel caso in cui gli stanziamenti riguardanti il fondo pluriennale vincolato comprendono anche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investimenti ancora in corso di definizione, le cause che non hanno reso possibile porre in essere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la programmazione necessaria alla definizione dei relativi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cronoprogrammi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6. L’elenco delle garanzie principali o sussidiarie prestate dall’ente a favore di enti e di altri soggetti</w:t>
      </w:r>
      <w:r w:rsidR="00895F0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ai sensi delle leggi vigenti;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7. Gli oneri e gli impegni finanziari stimati e stanziati in bilancio, derivanti da contratti relativi a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strumenti finanziari derivati o da contratti di finanziamento che includono una componente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derivata;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8. L’elenco dei propri enti ed organismi strumentali, precisando che i relativi bilanci consuntivi sono</w:t>
      </w:r>
      <w:r w:rsidR="00895F0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consultabili nel proprio sito internet fermo restando quanto previsto per gli enti locali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dall'articolo 172, comma 1, lettera a) del decreto legislativo 18 agosto 2000, n. 267;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9. L’elenco delle partecipazioni possedute con l’indicazione della relativa quota percentuale;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10. Altre informazioni riguardanti le previsioni, richieste dalla legge o necessarie per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l’interpretazione del bilancio.</w:t>
      </w:r>
    </w:p>
    <w:p w:rsidR="00895F09" w:rsidRDefault="00895F09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36432" w:rsidRPr="00491D01" w:rsidRDefault="00F36432" w:rsidP="00EF541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491D01">
        <w:rPr>
          <w:rFonts w:ascii="Calibri,Bold" w:hAnsi="Calibri,Bold" w:cs="Calibri,Bold"/>
          <w:b/>
          <w:bCs/>
          <w:color w:val="000000"/>
          <w:sz w:val="24"/>
          <w:szCs w:val="24"/>
        </w:rPr>
        <w:t>Criteri di valutazione adottati per la formulazione delle previsioni, gli accantonamenti per le spese</w:t>
      </w:r>
      <w:r w:rsidR="00895F09" w:rsidRPr="00491D01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 w:rsidRPr="00491D01">
        <w:rPr>
          <w:rFonts w:ascii="Calibri,Bold" w:hAnsi="Calibri,Bold" w:cs="Calibri,Bold"/>
          <w:b/>
          <w:bCs/>
          <w:color w:val="000000"/>
          <w:sz w:val="24"/>
          <w:szCs w:val="24"/>
        </w:rPr>
        <w:t>potenziali e il fondo crediti di dubbia esigibilità</w:t>
      </w:r>
    </w:p>
    <w:p w:rsidR="00895F09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formulazione delle previsioni è stata effettuata, per ciò che concerne la spesa, tenendo conto delle</w:t>
      </w:r>
      <w:r w:rsidR="00895F0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spese sostenute in passato, delle spese obbligatorie, di quelle consolidate e di quelle derivanti da</w:t>
      </w:r>
      <w:r w:rsidR="00895F0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obbligazioni già assunte in esercizi precedenti. Analogamente, per la parte entrata, l’osservazione delle</w:t>
      </w:r>
      <w:r w:rsidR="00895F0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risultanze degli esercizi precedenti è stata alla base delle previsioni ovviamente tenendo conto delle</w:t>
      </w:r>
      <w:r w:rsidR="00895F0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possibili variazioni e di quelle causate con la manovra di bilancio.</w:t>
      </w:r>
    </w:p>
    <w:p w:rsidR="00F36432" w:rsidRDefault="00F31CD8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Le assegnazioni relative a FSN statale sono state rilevate sul sito Internet del Ministero dell’Interno, le assegnazioni Regionali per spese correnti sono state rilevate sull’apposito decreto di assegnazione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D.A.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n. 180 del 10/08/2016.</w:t>
      </w:r>
    </w:p>
    <w:p w:rsidR="00895F09" w:rsidRDefault="00895F09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FONDO CREDITI DUBBIA ESIGIBILITA’ (FCDE)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Accantonamento al fondo crediti di dubbia esigibilità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L’allegato n. 2/4 “Principio contabile applicato concernente la contabilità finanziaria” richiamato dall’art. 3</w:t>
      </w:r>
      <w:r w:rsidR="00DE0B46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del Decreto Legislativo 23 giugno 2011 n. 118 cosi come modificato dal decreto Legislativo 10 agosto 2014</w:t>
      </w:r>
      <w:r w:rsidR="00DE0B46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n. 126, in particolare al punto 3.3 e all’esempio n. 5 in appendice, disciplina l’accantonamento al fondo</w:t>
      </w:r>
      <w:r w:rsidR="00DE0B46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crediti di dubbia esigibilità a fronte di crediti di dubbia e difficile esazione accertati nell’esercizio.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 tal fine è previsto che nel bilancio di previsione venga stanziata una apposita posta contabile,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denominata “Accantonamento al fondo crediti di dubbia esigibilità” il cui ammontare è determinato in</w:t>
      </w:r>
      <w:r w:rsidR="00DE0B46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considerazione della dimensione degli stanziamenti relativi ai crediti che si prevede si formeranno</w:t>
      </w:r>
      <w:r w:rsidR="00DE0B46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nell’esercizio, della loro natura e dell’andamento del fenomeno negli ultimi cinque esercizi precedenti.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Tale accantonamento</w:t>
      </w:r>
      <w:r w:rsidR="00DE0B46">
        <w:rPr>
          <w:rFonts w:ascii="Calibri" w:hAnsi="Calibri" w:cs="Calibri"/>
          <w:color w:val="000000"/>
          <w:sz w:val="24"/>
          <w:szCs w:val="24"/>
        </w:rPr>
        <w:t xml:space="preserve"> iscritto quale voce di Uscita nel bilancio di previsione </w:t>
      </w:r>
      <w:r>
        <w:rPr>
          <w:rFonts w:ascii="Calibri" w:hAnsi="Calibri" w:cs="Calibri"/>
          <w:color w:val="000000"/>
          <w:sz w:val="24"/>
          <w:szCs w:val="24"/>
        </w:rPr>
        <w:t xml:space="preserve"> non risulterà oggetto di impegno e genererà pertanto un’economia di bilancio</w:t>
      </w:r>
      <w:r w:rsidR="00DE0B46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destinata a confluire nel risultato di amministrazione come quota accantonata.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Il medesimo principio contabile è stato integrato dall’art. 1 comma 509 della Legge 23 dicembre 2014 n.</w:t>
      </w:r>
      <w:r w:rsidR="00DE0B46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190 (Legge di Stabilità 2015) che prevede: “Con riferimento agli enti locali, nel 2015 è stanziata in bilancio</w:t>
      </w:r>
      <w:r w:rsidR="00156D7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una quota dell'importo dell'accantonamento quantificato nel prospetto </w:t>
      </w:r>
      <w:r>
        <w:rPr>
          <w:rFonts w:ascii="Calibri" w:hAnsi="Calibri" w:cs="Calibri"/>
          <w:color w:val="000000"/>
          <w:sz w:val="24"/>
          <w:szCs w:val="24"/>
        </w:rPr>
        <w:lastRenderedPageBreak/>
        <w:t>riguardante il fondo crediti di</w:t>
      </w:r>
      <w:r w:rsidR="00156D7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dubbia esigibilità allegato al bilancio di previsione pari almeno al 36 per cento, se l'ente non ha aderito alla</w:t>
      </w:r>
      <w:r w:rsidR="00156D7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sperimentazione di cui all'articolo 36</w:t>
      </w:r>
      <w:r w:rsidR="00156D70">
        <w:rPr>
          <w:rFonts w:ascii="Calibri" w:hAnsi="Calibri" w:cs="Calibri"/>
          <w:color w:val="000000"/>
          <w:sz w:val="24"/>
          <w:szCs w:val="24"/>
        </w:rPr>
        <w:t>, come nel caso del nostro ente</w:t>
      </w:r>
      <w:r>
        <w:rPr>
          <w:rFonts w:ascii="Calibri" w:hAnsi="Calibri" w:cs="Calibri"/>
          <w:color w:val="000000"/>
          <w:sz w:val="24"/>
          <w:szCs w:val="24"/>
        </w:rPr>
        <w:t>,  al 55 per cento, se l'ente ha aderito alla predetta sperimentazione.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Nel 2016 per tutti gli enti locali lo stanziamento di bilancio riguardante il fondo crediti di dubbia esigibilità è</w:t>
      </w:r>
      <w:r w:rsidR="00156D7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pari almeno al 55 per cento, nel 2017 è pari almeno al 70 per cento, nel 2018 è pari almeno all'85 per cento</w:t>
      </w:r>
      <w:r w:rsidR="00156D7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 dal 2019 l'accantonamento al fondo è effettuato per l'intero importo”</w:t>
      </w:r>
      <w:r w:rsidR="00156D70">
        <w:rPr>
          <w:rFonts w:ascii="Calibri" w:hAnsi="Calibri" w:cs="Calibri"/>
          <w:color w:val="000000"/>
          <w:sz w:val="24"/>
          <w:szCs w:val="24"/>
        </w:rPr>
        <w:t>.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In via generale non richiedono l’accantonamento al fondo crediti di dubbia esigibilità i </w:t>
      </w:r>
      <w:r w:rsidR="00156D70"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rasferimenti da</w:t>
      </w:r>
      <w:r w:rsidR="00156D7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altre amministrazioni pubbliche, i crediti assistiti da fidejussione e le entrate tributarie accertate per cassa.</w:t>
      </w:r>
    </w:p>
    <w:p w:rsidR="00F36432" w:rsidRPr="00EF5411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4"/>
          <w:szCs w:val="24"/>
        </w:rPr>
      </w:pPr>
      <w:r w:rsidRPr="00EF5411">
        <w:rPr>
          <w:rFonts w:cs="Verdana"/>
          <w:color w:val="000000"/>
          <w:sz w:val="24"/>
          <w:szCs w:val="24"/>
        </w:rPr>
        <w:t>La determinazione dell’accantonamento al fondo crediti di dubbia esigibilità è stata preceduta da una</w:t>
      </w:r>
      <w:r w:rsidR="00156D70" w:rsidRPr="00EF5411">
        <w:rPr>
          <w:rFonts w:cs="Verdana"/>
          <w:color w:val="000000"/>
          <w:sz w:val="24"/>
          <w:szCs w:val="24"/>
        </w:rPr>
        <w:t xml:space="preserve"> </w:t>
      </w:r>
      <w:r w:rsidRPr="00EF5411">
        <w:rPr>
          <w:rFonts w:cs="Verdana"/>
          <w:color w:val="000000"/>
          <w:sz w:val="24"/>
          <w:szCs w:val="24"/>
        </w:rPr>
        <w:t>dettagliata e puntuale analisi delle partite creditorie dell’Ente, che ha fatto sì che venissero individuate</w:t>
      </w:r>
      <w:r w:rsidR="00156D70" w:rsidRPr="00EF5411">
        <w:rPr>
          <w:rFonts w:cs="Verdana"/>
          <w:color w:val="000000"/>
          <w:sz w:val="24"/>
          <w:szCs w:val="24"/>
        </w:rPr>
        <w:t xml:space="preserve"> </w:t>
      </w:r>
      <w:r w:rsidRPr="00EF5411">
        <w:rPr>
          <w:rFonts w:cs="Verdana"/>
          <w:color w:val="000000"/>
          <w:sz w:val="24"/>
          <w:szCs w:val="24"/>
        </w:rPr>
        <w:t>ulteriori tipologie di entrate in relazione alle quali non si è ritenuto di provvedere all’accantonamento al</w:t>
      </w:r>
      <w:r w:rsidR="00156D70" w:rsidRPr="00EF5411">
        <w:rPr>
          <w:rFonts w:cs="Verdana"/>
          <w:color w:val="000000"/>
          <w:sz w:val="24"/>
          <w:szCs w:val="24"/>
        </w:rPr>
        <w:t xml:space="preserve"> </w:t>
      </w:r>
      <w:r w:rsidRPr="00EF5411">
        <w:rPr>
          <w:rFonts w:cs="Verdana"/>
          <w:color w:val="000000"/>
          <w:sz w:val="24"/>
          <w:szCs w:val="24"/>
        </w:rPr>
        <w:t>fondo crediti di dubbia esigibilità.</w:t>
      </w:r>
    </w:p>
    <w:p w:rsidR="00F36432" w:rsidRPr="00EF5411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F5411">
        <w:rPr>
          <w:rFonts w:cs="Calibri"/>
          <w:color w:val="000000"/>
          <w:sz w:val="24"/>
          <w:szCs w:val="24"/>
        </w:rPr>
        <w:t>Si è pertanto provveduto a:</w:t>
      </w:r>
    </w:p>
    <w:p w:rsidR="00F36432" w:rsidRPr="00114EC7" w:rsidRDefault="00156D70" w:rsidP="00EF541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u w:val="single"/>
        </w:rPr>
      </w:pPr>
      <w:r w:rsidRPr="00156D70">
        <w:rPr>
          <w:rFonts w:cs="Calibri,Bold"/>
          <w:bCs/>
          <w:color w:val="000000"/>
          <w:sz w:val="24"/>
          <w:szCs w:val="24"/>
        </w:rPr>
        <w:t>-</w:t>
      </w:r>
      <w:r w:rsidR="00F36432" w:rsidRPr="00156D70">
        <w:rPr>
          <w:rFonts w:cs="Calibri,Bold"/>
          <w:bCs/>
          <w:color w:val="000000"/>
          <w:sz w:val="24"/>
          <w:szCs w:val="24"/>
        </w:rPr>
        <w:t xml:space="preserve">1. </w:t>
      </w:r>
      <w:r w:rsidR="00F36432" w:rsidRPr="00114EC7">
        <w:rPr>
          <w:rFonts w:cs="Calibri,Bold"/>
          <w:bCs/>
          <w:color w:val="000000"/>
          <w:sz w:val="24"/>
          <w:szCs w:val="24"/>
          <w:u w:val="single"/>
        </w:rPr>
        <w:t>Individuare le poste di entrata stanziate che possono dare luogo alla formazione di crediti dubbia e</w:t>
      </w:r>
      <w:r w:rsidRPr="00114EC7">
        <w:rPr>
          <w:rFonts w:cs="Calibri,Bold"/>
          <w:bCs/>
          <w:color w:val="000000"/>
          <w:sz w:val="24"/>
          <w:szCs w:val="24"/>
          <w:u w:val="single"/>
        </w:rPr>
        <w:t xml:space="preserve"> </w:t>
      </w:r>
      <w:r w:rsidR="00F36432" w:rsidRPr="00114EC7">
        <w:rPr>
          <w:rFonts w:cs="Calibri,Bold"/>
          <w:bCs/>
          <w:color w:val="000000"/>
          <w:sz w:val="24"/>
          <w:szCs w:val="24"/>
          <w:u w:val="single"/>
        </w:rPr>
        <w:t>difficile esazione</w:t>
      </w:r>
      <w:r w:rsidR="00F36432" w:rsidRPr="00114EC7">
        <w:rPr>
          <w:rFonts w:cs="Calibri"/>
          <w:color w:val="000000"/>
          <w:sz w:val="24"/>
          <w:szCs w:val="24"/>
          <w:u w:val="single"/>
        </w:rPr>
        <w:t>.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Considerate le suddette esclusioni, </w:t>
      </w:r>
      <w:r w:rsidR="00156D70">
        <w:rPr>
          <w:rFonts w:ascii="Calibri" w:hAnsi="Calibri" w:cs="Calibri"/>
          <w:color w:val="000000"/>
          <w:sz w:val="24"/>
          <w:szCs w:val="24"/>
        </w:rPr>
        <w:t xml:space="preserve">sono state individuate </w:t>
      </w:r>
      <w:r>
        <w:rPr>
          <w:rFonts w:ascii="Calibri" w:hAnsi="Calibri" w:cs="Calibri"/>
          <w:color w:val="000000"/>
          <w:sz w:val="24"/>
          <w:szCs w:val="24"/>
        </w:rPr>
        <w:t>quale risorsa d'incerta riscossione</w:t>
      </w:r>
      <w:r w:rsidR="00156D70">
        <w:rPr>
          <w:rFonts w:ascii="Calibri" w:hAnsi="Calibri" w:cs="Calibri"/>
          <w:color w:val="000000"/>
          <w:sz w:val="24"/>
          <w:szCs w:val="24"/>
        </w:rPr>
        <w:t xml:space="preserve"> i seguenti tributi non accertati per cassa:</w:t>
      </w:r>
    </w:p>
    <w:p w:rsidR="00F36432" w:rsidRDefault="00156D70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</w:t>
      </w:r>
      <w:r w:rsidR="00F36432">
        <w:rPr>
          <w:rFonts w:ascii="Calibri" w:hAnsi="Calibri" w:cs="Calibri"/>
          <w:color w:val="000000"/>
          <w:sz w:val="24"/>
          <w:szCs w:val="24"/>
        </w:rPr>
        <w:t>la Tariffa Rifiuti</w:t>
      </w:r>
      <w:r>
        <w:rPr>
          <w:rFonts w:ascii="Calibri" w:hAnsi="Calibri" w:cs="Calibri"/>
          <w:color w:val="000000"/>
          <w:sz w:val="24"/>
          <w:szCs w:val="24"/>
        </w:rPr>
        <w:t>(</w:t>
      </w:r>
      <w:r w:rsidR="00F36432">
        <w:rPr>
          <w:rFonts w:ascii="Calibri" w:hAnsi="Calibri" w:cs="Calibri"/>
          <w:color w:val="000000"/>
          <w:sz w:val="24"/>
          <w:szCs w:val="24"/>
        </w:rPr>
        <w:t>TAR</w:t>
      </w:r>
      <w:r>
        <w:rPr>
          <w:rFonts w:ascii="Calibri" w:hAnsi="Calibri" w:cs="Calibri"/>
          <w:color w:val="000000"/>
          <w:sz w:val="24"/>
          <w:szCs w:val="24"/>
        </w:rPr>
        <w:t xml:space="preserve">I) – la tariffa relativa a </w:t>
      </w:r>
      <w:r w:rsidR="00114EC7">
        <w:rPr>
          <w:rFonts w:ascii="Calibri" w:hAnsi="Calibri" w:cs="Calibri"/>
          <w:color w:val="000000"/>
          <w:sz w:val="24"/>
          <w:szCs w:val="24"/>
        </w:rPr>
        <w:t>Servizio idrico integrato (ACQUEDOTTO, FOGNA E DEPURAZIONE) – Sanzioni per violazioni al codice della strada – i fitti attivi.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EF5411" w:rsidRDefault="00114EC7" w:rsidP="00EF541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 w:val="24"/>
          <w:szCs w:val="24"/>
          <w:u w:val="single"/>
        </w:rPr>
      </w:pPr>
      <w:r>
        <w:rPr>
          <w:rFonts w:cs="Calibri,Bold"/>
          <w:bCs/>
          <w:color w:val="000000"/>
          <w:sz w:val="24"/>
          <w:szCs w:val="24"/>
        </w:rPr>
        <w:t>2.</w:t>
      </w:r>
      <w:r w:rsidRPr="00114EC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 w:rsidRPr="00082DFE">
        <w:rPr>
          <w:rFonts w:cs="Calibri,Bold"/>
          <w:bCs/>
          <w:color w:val="000000"/>
          <w:sz w:val="24"/>
          <w:szCs w:val="24"/>
          <w:u w:val="single"/>
        </w:rPr>
        <w:t xml:space="preserve">calcolare, per ciascuna entrata di cui al punto 1), la media del rapporto tra gli incassi in c/competenza </w:t>
      </w:r>
      <w:r w:rsidR="00EF5411">
        <w:rPr>
          <w:rFonts w:cs="Calibri,Bold"/>
          <w:bCs/>
          <w:color w:val="000000"/>
          <w:sz w:val="24"/>
          <w:szCs w:val="24"/>
          <w:u w:val="single"/>
        </w:rPr>
        <w:t xml:space="preserve">e in c/residui </w:t>
      </w:r>
      <w:r w:rsidRPr="00082DFE">
        <w:rPr>
          <w:rFonts w:cs="Calibri,Bold"/>
          <w:bCs/>
          <w:color w:val="000000"/>
          <w:sz w:val="24"/>
          <w:szCs w:val="24"/>
          <w:u w:val="single"/>
        </w:rPr>
        <w:t xml:space="preserve">e gli accertamenti degli ultimi 5 esercizi approvati 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scelta della media è stata effettuata in considerazione del fatto che gli ultimi anni rispecchiano in modo</w:t>
      </w:r>
      <w:r w:rsidR="00114EC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più fedele la realtà della effettiva capacità di riscossione del momento, evidenziando che</w:t>
      </w:r>
      <w:r w:rsidR="00114EC7">
        <w:rPr>
          <w:rFonts w:ascii="Calibri" w:hAnsi="Calibri" w:cs="Calibri"/>
          <w:color w:val="000000"/>
          <w:sz w:val="24"/>
          <w:szCs w:val="24"/>
        </w:rPr>
        <w:t xml:space="preserve"> relativamente alla</w:t>
      </w:r>
      <w:r>
        <w:rPr>
          <w:rFonts w:ascii="Calibri" w:hAnsi="Calibri" w:cs="Calibri"/>
          <w:color w:val="000000"/>
          <w:sz w:val="24"/>
          <w:szCs w:val="24"/>
        </w:rPr>
        <w:t xml:space="preserve"> Tassa sui</w:t>
      </w:r>
      <w:r w:rsidR="00114EC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Rifiuti (TARI) è stata introdotta nel 2014, in sostituzione della TARES (Tributo sui rifiuti e sui Servizi) in</w:t>
      </w:r>
      <w:r w:rsidR="00114EC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vigore nel 2013 e della TARSU (Tassa rifiuti solidi urbani) in vigore fino al 2012. Dal momento che queste</w:t>
      </w:r>
      <w:r w:rsidR="00114EC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risorse sono del tutto assimilabili da un punto di vista contabile (si tratta sempre di entrate accertate sulla</w:t>
      </w:r>
      <w:r w:rsidR="00114EC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base degli avvisi di pagamento emessi), si è provveduto a raggruppare i dati degli accertamenti e degli</w:t>
      </w:r>
      <w:r w:rsidR="00114EC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incassi in un unico prospetto, in modo da disporre di una serie storica adeguata per poter determinare il</w:t>
      </w:r>
      <w:r w:rsidR="00114EC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FCDE di competenza. Tutti i dati sono stati tratti dai rendiconti e sono stati aggiornati sulla base delle</w:t>
      </w:r>
      <w:r w:rsidR="00114EC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effettive riscossioni.</w:t>
      </w:r>
    </w:p>
    <w:p w:rsidR="00F36432" w:rsidRPr="00082DFE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color w:val="000000"/>
          <w:sz w:val="24"/>
          <w:szCs w:val="24"/>
          <w:u w:val="single"/>
        </w:rPr>
      </w:pPr>
      <w:r w:rsidRPr="00082DFE">
        <w:rPr>
          <w:rFonts w:cs="Calibri,Bold"/>
          <w:bCs/>
          <w:color w:val="000000"/>
          <w:sz w:val="24"/>
          <w:szCs w:val="24"/>
          <w:u w:val="single"/>
        </w:rPr>
        <w:t>3. determinare l’importo dell’accantonamento annuale del Fondo da iscrivere in bilancio.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La </w:t>
      </w:r>
      <w:r w:rsidRPr="00EF5411">
        <w:rPr>
          <w:rFonts w:cs="Calibri,Italic"/>
          <w:i/>
          <w:iCs/>
          <w:color w:val="000000"/>
          <w:sz w:val="24"/>
          <w:szCs w:val="24"/>
        </w:rPr>
        <w:t>dimensione iniziale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del fondo, determinata in sede di bilancio di previsione, è data dalla somma della</w:t>
      </w:r>
      <w:r w:rsidR="00082DF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componente accantonata con l’ultimo rendiconto (avanzo già vincolato per il finanziamento dei crediti di</w:t>
      </w:r>
      <w:r w:rsidR="00082DF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dubbia esigibilità) integrata da un’ulteriore quota stanziata con l’attuale bilancio, non soggetta poi ad</w:t>
      </w:r>
      <w:r w:rsidR="00082DF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impegno di spesa (risparmio forzoso). Si tratta, pertanto, di coprire con adeguate risorse sia l’ammontare</w:t>
      </w:r>
      <w:r w:rsidR="00082DF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dei vecchi crediti in sofferenza (residui attivi di rendiconto o comunque riferibili ad esercizi precedenti) che</w:t>
      </w:r>
      <w:r w:rsidR="00082DF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 nuovi crediti in corso di formazione (previsioni di entrata del nuovo bilancio).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La </w:t>
      </w:r>
      <w:r w:rsidRPr="00EF5411">
        <w:rPr>
          <w:rFonts w:cs="Calibri,Italic"/>
          <w:i/>
          <w:iCs/>
          <w:color w:val="000000"/>
          <w:sz w:val="24"/>
          <w:szCs w:val="24"/>
        </w:rPr>
        <w:t>dimensione definitiva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del fondo sarà calcolata solo a rendiconto, una volta disponibili i conteggi finali, e</w:t>
      </w:r>
      <w:r w:rsidR="00082DF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comporterà il congelamento di una quota dell’avanzo di pari importo (quota accantonata dell’avanzo).</w:t>
      </w:r>
    </w:p>
    <w:p w:rsidR="00F36432" w:rsidRDefault="00F36432" w:rsidP="00EF54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Nella sostanza, si andrà a costituire uno specifico stanziamento di spesa assimilabile ad un fondo rischi con</w:t>
      </w:r>
      <w:r w:rsidR="00082DF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una tecnica che non consente di spendere la quota di avanzo corrispondente all'entità del fondo così</w:t>
      </w:r>
      <w:r w:rsidR="00082DF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costituito.</w:t>
      </w:r>
    </w:p>
    <w:p w:rsidR="00F36432" w:rsidRDefault="00F36432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Venendo all'attuale bilancio, al fine di favorire la formazione di una quota di avanzo adeguata a tale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scoposi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è provveduto ad iscrivere tra le uscite una posta non soggetta ad impegno, creando così una</w:t>
      </w:r>
      <w:r w:rsidR="00EF541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componente positiva nel futuro calcolo del risultato di amministrazione (risparmio </w:t>
      </w:r>
      <w:r>
        <w:rPr>
          <w:rFonts w:ascii="Calibri" w:hAnsi="Calibri" w:cs="Calibri"/>
          <w:color w:val="000000"/>
          <w:sz w:val="24"/>
          <w:szCs w:val="24"/>
        </w:rPr>
        <w:lastRenderedPageBreak/>
        <w:t>forzoso). In questo</w:t>
      </w:r>
      <w:r w:rsidR="00082DF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modo, l’eventuale formazione di nuovi residui attivi di dubbia esigibilità (accertamenti dell’esercizio in</w:t>
      </w:r>
      <w:r w:rsidR="00082DF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corso) non produrrà effetti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distorsivi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sugli equilibri finanziari oppure, in ogni caso, tenderà ad attenuarli.</w:t>
      </w:r>
    </w:p>
    <w:p w:rsidR="00F36432" w:rsidRDefault="00EF5411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 seguito</w:t>
      </w:r>
      <w:r w:rsidR="00F36432">
        <w:rPr>
          <w:rFonts w:ascii="Calibri" w:hAnsi="Calibri" w:cs="Calibri"/>
          <w:color w:val="000000"/>
          <w:sz w:val="24"/>
          <w:szCs w:val="24"/>
        </w:rPr>
        <w:t xml:space="preserve"> si evidenziano le modalità di calcolo applicate per ciascuna posta, con la</w:t>
      </w:r>
      <w:r w:rsidR="00082DF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36432">
        <w:rPr>
          <w:rFonts w:ascii="Calibri" w:hAnsi="Calibri" w:cs="Calibri"/>
          <w:color w:val="000000"/>
          <w:sz w:val="24"/>
          <w:szCs w:val="24"/>
        </w:rPr>
        <w:t>quantificazione dei Fondi iscritti a Bilancio</w:t>
      </w:r>
      <w:r w:rsidR="00082DFE">
        <w:rPr>
          <w:rFonts w:ascii="Calibri" w:hAnsi="Calibri" w:cs="Calibri"/>
          <w:color w:val="000000"/>
          <w:sz w:val="24"/>
          <w:szCs w:val="24"/>
        </w:rPr>
        <w:t xml:space="preserve"> come da tabella appresso esposta:</w:t>
      </w:r>
    </w:p>
    <w:p w:rsidR="00DD4233" w:rsidRDefault="00DD4233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638"/>
        <w:gridCol w:w="1132"/>
        <w:gridCol w:w="1132"/>
        <w:gridCol w:w="1134"/>
        <w:gridCol w:w="1134"/>
        <w:gridCol w:w="1134"/>
        <w:gridCol w:w="1132"/>
        <w:gridCol w:w="1342"/>
      </w:tblGrid>
      <w:tr w:rsidR="00A91C1E" w:rsidRPr="00A91C1E" w:rsidTr="00D75282">
        <w:trPr>
          <w:trHeight w:val="288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FONDO CREDITI DUBBIA ESIGIBILITA' BILANCIO 2016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992253" w:rsidP="00992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992253" w:rsidP="00992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992253" w:rsidP="00992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992253" w:rsidP="00992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992253" w:rsidP="009922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Anno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% FONDO 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TIPOLOGIA ENTRATA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2011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2012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2013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2014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2015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(100%-%MEDIA)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ACC/COMP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ACC/COMP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ACC/COMP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ACC/COMP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ACC/COMP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ACC/COMP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INC/</w:t>
            </w:r>
            <w:proofErr w:type="spellStart"/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R+C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INC/</w:t>
            </w:r>
            <w:proofErr w:type="spellStart"/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R+C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INC/</w:t>
            </w:r>
            <w:proofErr w:type="spellStart"/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R+C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INC/</w:t>
            </w:r>
            <w:proofErr w:type="spellStart"/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R+C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INC/COMP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INC/COMP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% RISCOSSIONE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% RISCOSSIONE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% RISCOSSIONE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  <w:r w:rsidR="00D75282"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  <w:r w:rsidR="00D752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% RISCOSSIONE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  <w:r w:rsidR="00D75282"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  <w:r w:rsidR="00D752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% RISCOSSIONE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  <w:r w:rsidR="00D75282"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  <w:r w:rsidR="00D752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% RISCOSSIONE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TARI-TARES-TARSU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140.620,53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115.365,38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168.477,25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157.303,90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157.497,39 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739.264,45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15.217,32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129.446,83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266.126,28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171.709,31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111.650,29 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694.150,03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 10,82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112,21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157,96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109,16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70,89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93,90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     6,10 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RECUPERO EVASIONE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FOGNA E DEPURAZ.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21.000,00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21.000,00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21.000,00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     -  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38.024,68 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101.024,68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7.109,43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25.769,18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23.702,69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12.343,01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17.242,32 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86.166,63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 33,85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122,71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112,87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45,35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85,29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  14,71 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SANZIONI </w:t>
            </w:r>
            <w:proofErr w:type="spellStart"/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C.D.S.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1.139,70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84,60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45,60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516,00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143,50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1.929,40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1.363,55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451,88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89,62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67,21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143,50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2.115,76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119,64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534,14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196,54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13,03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100,00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109,66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SERVIZIO IDRICO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32.000,00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32.000,00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32.000,00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240,00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41.113,85 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137.353,85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10.708,11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40.535,81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49.216,52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3.471,04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10.252,53 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114.184,01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 33,46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126,67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153,80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1.446,27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24,94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83,13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  16,87 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FITI ATTIVI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3.871,00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2.512,00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     -  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4.817,50 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11.200,50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1.403,00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2.516,00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2.412,00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2.405,50 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8.736,50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A91C1E" w:rsidRPr="00A91C1E" w:rsidTr="00D75282">
        <w:trPr>
          <w:trHeight w:val="288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36,24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100,16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49,93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78,00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  22,00 </w:t>
            </w:r>
          </w:p>
        </w:tc>
      </w:tr>
    </w:tbl>
    <w:p w:rsidR="00DD4233" w:rsidRDefault="00DD4233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D4233" w:rsidRDefault="00DD4233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D4233" w:rsidRDefault="00DD4233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75282" w:rsidRDefault="00D75282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75282" w:rsidRDefault="00D75282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75282" w:rsidRDefault="00D75282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31CD8" w:rsidRDefault="00F31CD8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31CD8" w:rsidRDefault="00F31CD8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D4233" w:rsidRDefault="00DD4233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D4233" w:rsidRDefault="00DD4233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  <w:gridCol w:w="1541"/>
        <w:gridCol w:w="190"/>
        <w:gridCol w:w="1559"/>
        <w:gridCol w:w="1843"/>
        <w:gridCol w:w="1701"/>
      </w:tblGrid>
      <w:tr w:rsidR="00D75282" w:rsidRPr="00A91C1E" w:rsidTr="00D75282">
        <w:trPr>
          <w:trHeight w:val="288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FONDO CREDITI DUBBIA ESIGIBILITA' PREVISIONE 2016-2018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740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%</w:t>
            </w:r>
            <w:r w:rsidR="00DC7C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ACCANTONAMENTO  </w:t>
            </w: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7403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APPLICATA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2018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TARI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previsione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179.000,00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179.000,00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179.000,00 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                      6,10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100%FCDE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10.919,00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10.919,00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10.919,00 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RECUPERO EVASIONE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previsione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100%FCDE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C7C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FOGNA E DEPURAZ</w:t>
            </w:r>
            <w:r w:rsidR="00DC7C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IONE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previsione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20.000,00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20.000,00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20.000,00 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14,71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100%FCDE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2.942,00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2.942,00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2.942,00 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SANZIONI </w:t>
            </w:r>
            <w:proofErr w:type="spellStart"/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C.D.S.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previsione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100%FCDE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SERVIZIO IDRICO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previsione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29.000,00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29.000,00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29.000,00 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                    16,87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100%FCDE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4.892,30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4.892,30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4.892,30 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FITI ATTIVI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previsione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2.800,00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2.800,00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2.800,00 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                    22,00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100%FCDE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616,00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616,00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          616,00 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FONDO 100%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    19.369,30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     19.369,30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        19.369,30 </w:t>
            </w:r>
          </w:p>
        </w:tc>
      </w:tr>
      <w:tr w:rsidR="00D75282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%  ACCANTONAMENTO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7403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7403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7403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85</w:t>
            </w:r>
          </w:p>
        </w:tc>
      </w:tr>
      <w:tr w:rsidR="00D75282" w:rsidRPr="00A91C1E" w:rsidTr="00DC7C2C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STANZIAMENTO MINIMO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    10.653,12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     13.558,51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1E" w:rsidRPr="00A91C1E" w:rsidRDefault="00A91C1E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1C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        16.463,91 </w:t>
            </w:r>
          </w:p>
        </w:tc>
      </w:tr>
      <w:tr w:rsidR="00DC7C2C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2C" w:rsidRPr="00A91C1E" w:rsidRDefault="00DC7C2C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2C" w:rsidRPr="00A91C1E" w:rsidRDefault="00DC7C2C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2C" w:rsidRPr="00A91C1E" w:rsidRDefault="00DC7C2C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2C" w:rsidRPr="00A91C1E" w:rsidRDefault="00DC7C2C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2C" w:rsidRPr="00A91C1E" w:rsidRDefault="00DC7C2C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DC7C2C" w:rsidRPr="00A91C1E" w:rsidTr="00D75282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2C" w:rsidRPr="00A91C1E" w:rsidRDefault="00DC7C2C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STANZIAMENTO BILANCIO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2C" w:rsidRPr="00A91C1E" w:rsidRDefault="00DC7C2C" w:rsidP="00A91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2C" w:rsidRPr="00A91C1E" w:rsidRDefault="00DC7C2C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10.653,12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2C" w:rsidRPr="00A91C1E" w:rsidRDefault="00DC7C2C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13.558,51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2C" w:rsidRPr="00A91C1E" w:rsidRDefault="00DC7C2C" w:rsidP="00D75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16.463,91</w:t>
            </w:r>
          </w:p>
        </w:tc>
      </w:tr>
    </w:tbl>
    <w:p w:rsidR="00DD4233" w:rsidRDefault="00DD4233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C7C2C" w:rsidRDefault="00F36432" w:rsidP="00992253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ALTRI ACCANTONAMENTI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. </w:t>
      </w:r>
    </w:p>
    <w:p w:rsidR="00F36432" w:rsidRPr="00DC7C2C" w:rsidRDefault="00F36432" w:rsidP="0099225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 w:rsidRPr="00DC7C2C">
        <w:rPr>
          <w:rFonts w:ascii="Calibri,Italic" w:hAnsi="Calibri,Italic" w:cs="Calibri,Italic"/>
          <w:i/>
          <w:iCs/>
          <w:color w:val="000000"/>
          <w:sz w:val="24"/>
          <w:szCs w:val="24"/>
        </w:rPr>
        <w:t>Fondo rischi</w:t>
      </w:r>
    </w:p>
    <w:p w:rsidR="00F36432" w:rsidRDefault="00F36432" w:rsidP="009922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Ai sensi del principio contabile applicato concernente la contabilità finanziaria di cui all’All. 4/2 al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D.Lgs.</w:t>
      </w:r>
      <w:proofErr w:type="spellEnd"/>
      <w:r w:rsidR="00DC7C2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118/2011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- punto 5.2 lettera h) - in presenza di contenzioso con significativa probabilità di</w:t>
      </w:r>
      <w:r w:rsidR="00DC7C2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soccombenza è necessario che l’Ente costituisca un apposito “Fondo Rischi”.</w:t>
      </w:r>
    </w:p>
    <w:p w:rsidR="00F36432" w:rsidRDefault="00F36432" w:rsidP="009922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 somme stanziate a tale Fondo non utilizzate, costituiscono a fine esercizio economie che confluiscono</w:t>
      </w:r>
      <w:r w:rsidR="00DC7C2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nella quota vincolata del risultato di amministrazione (risparmio forzoso).</w:t>
      </w:r>
    </w:p>
    <w:p w:rsidR="00F36432" w:rsidRDefault="00F36432" w:rsidP="009922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Tale fondo non è stato costituito in quanto non vi sono allo stato attuale </w:t>
      </w:r>
      <w:r w:rsidR="00DC7C2C">
        <w:rPr>
          <w:rFonts w:ascii="Calibri" w:hAnsi="Calibri" w:cs="Calibri"/>
          <w:color w:val="000000"/>
          <w:sz w:val="24"/>
          <w:szCs w:val="24"/>
        </w:rPr>
        <w:t>procedure in corso segnalate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F36432" w:rsidRPr="00DC7C2C" w:rsidRDefault="00F36432" w:rsidP="0099225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 w:rsidRPr="00DC7C2C">
        <w:rPr>
          <w:rFonts w:ascii="Calibri,Italic" w:hAnsi="Calibri,Italic" w:cs="Calibri,Italic"/>
          <w:i/>
          <w:iCs/>
          <w:color w:val="000000"/>
          <w:sz w:val="24"/>
          <w:szCs w:val="24"/>
        </w:rPr>
        <w:t>Fondo a copertura perdite Società Partecipate</w:t>
      </w:r>
    </w:p>
    <w:p w:rsidR="00F36432" w:rsidRDefault="00F36432" w:rsidP="009922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Ai sensi della Legge 27/12/2013 n. 147 – Legge di Stabilità 2014, art. 1, commi 550 e seguenti, nel caso in</w:t>
      </w:r>
      <w:r w:rsidR="00DC7C2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cui le Società partecipate, ivi comprese le Aziende Speciale e le Istituzioni, presentino un risultato di</w:t>
      </w:r>
      <w:r w:rsidR="00DC7C2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esercizio o saldo finanziario negativo, le pubbliche amministrazioni locali partecipanti </w:t>
      </w:r>
      <w:r>
        <w:rPr>
          <w:rFonts w:ascii="Calibri" w:hAnsi="Calibri" w:cs="Calibri"/>
          <w:color w:val="000000"/>
          <w:sz w:val="24"/>
          <w:szCs w:val="24"/>
        </w:rPr>
        <w:lastRenderedPageBreak/>
        <w:t>accantonano</w:t>
      </w:r>
      <w:r w:rsidR="00DC7C2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nell'anno successivo in apposito fondo vincolato un importo pari al risultato negativo non immediatamente</w:t>
      </w:r>
      <w:r w:rsidR="00DC7C2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ripianato, in misura proporzionale alla quota di partecipazione.</w:t>
      </w:r>
    </w:p>
    <w:p w:rsidR="00F36432" w:rsidRDefault="00F36432" w:rsidP="009922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suddetta norma prevede che tali accantonamenti si applichino a decorrere dall’esercizio finanziario</w:t>
      </w:r>
      <w:r w:rsidR="00DC7C2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2015, a valere sui risultati 2014. In caso di risultato negativo l'ente partecipante accantona, in misura</w:t>
      </w:r>
      <w:r w:rsidR="00FA3D5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proporzionale alla quota di partecipazione, una somma pari: al 25% per il 2015, al 50% per il 2016, al 75%</w:t>
      </w:r>
      <w:r w:rsidR="00FA3D5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per il 2017 del risultato negativo conseguito nell'esercizio precedente.</w:t>
      </w:r>
    </w:p>
    <w:p w:rsidR="00F36432" w:rsidRDefault="00F36432" w:rsidP="009922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Non avendo ancora disponibili </w:t>
      </w:r>
      <w:r w:rsidR="00992253"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 dati definitivi dalle Società, al momento questo fondo non è stato</w:t>
      </w:r>
      <w:r w:rsidR="00FA3D5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costituito.</w:t>
      </w:r>
    </w:p>
    <w:p w:rsidR="00FA3D52" w:rsidRDefault="00FA3D52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36432" w:rsidRPr="00491D01" w:rsidRDefault="00F3643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91D01">
        <w:rPr>
          <w:rFonts w:ascii="Calibri,Bold" w:hAnsi="Calibri,Bold" w:cs="Calibri,Bold"/>
          <w:b/>
          <w:bCs/>
          <w:color w:val="000000"/>
          <w:sz w:val="24"/>
          <w:szCs w:val="24"/>
        </w:rPr>
        <w:t>Elenco analitico delle quote vincolate e accantonate del risultato di amministrazione presunto al 31dicembre dell’esercizio precedente, distinguendo i vincoli derivanti dalla legge e dai principi contabili,dai trasferimenti, da mutui e altri finanziamenti, vincoli formalmente attribuiti dall’ente</w:t>
      </w:r>
      <w:r w:rsidRPr="00491D01">
        <w:rPr>
          <w:rFonts w:ascii="Calibri" w:hAnsi="Calibri" w:cs="Calibri"/>
          <w:color w:val="000000"/>
          <w:sz w:val="24"/>
          <w:szCs w:val="24"/>
        </w:rPr>
        <w:t>.</w:t>
      </w:r>
    </w:p>
    <w:p w:rsidR="00F36432" w:rsidRDefault="00F3643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 occasione della predisposizione del bilancio di previsione è necessario procedere alla determinazione del</w:t>
      </w:r>
      <w:r w:rsidR="00FA3D5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risultato di amministrazione presunto, che consiste in una previsione ragionevole del risultato di</w:t>
      </w:r>
      <w:r w:rsidR="00FA3D5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amministrazione dell’esercizio precedente, formulata in base alla situazione dei conti alla data di</w:t>
      </w:r>
      <w:r w:rsidR="00FA3D5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elaborazione del bilancio di previsione.</w:t>
      </w:r>
    </w:p>
    <w:p w:rsidR="00F36432" w:rsidRDefault="00F3643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Costituiscono quota vincolata del risultato di amministrazione le entrate accertate e le corrispondenti</w:t>
      </w:r>
      <w:r w:rsidR="00FA3D5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economie di bilancio:</w:t>
      </w:r>
    </w:p>
    <w:p w:rsidR="00F36432" w:rsidRDefault="00F3643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a) nei casi in cui la legge o i principi contabili generali e applicati della contabilità finanziaria individuano un</w:t>
      </w:r>
      <w:r w:rsidR="00FA3D5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vincolo di specifica destinazione dell’entrata alla spesa;</w:t>
      </w:r>
    </w:p>
    <w:p w:rsidR="00F36432" w:rsidRDefault="00F3643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b) derivanti da mutui e finanziamenti contratti per il finanziamento di investimenti determinati;</w:t>
      </w:r>
    </w:p>
    <w:p w:rsidR="00F36432" w:rsidRDefault="00F3643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c) derivanti da trasferimenti erogati a favore dell’ente per una specifica destinazione;</w:t>
      </w:r>
    </w:p>
    <w:p w:rsidR="00F36432" w:rsidRDefault="00F3643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d) derivanti da entrate straordinarie, non aventi natura ricorrente, accertate e riscosse cui</w:t>
      </w:r>
    </w:p>
    <w:p w:rsidR="00F36432" w:rsidRDefault="00F3643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l’amministrazione ha formalmente attribuito una specifica destinazione.</w:t>
      </w:r>
    </w:p>
    <w:p w:rsidR="00F36432" w:rsidRDefault="00F3643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quota accantonata del risultato di amministrazione è costituita da:</w:t>
      </w:r>
    </w:p>
    <w:p w:rsidR="00F36432" w:rsidRDefault="00F3643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1. l’accantonamento al fondo crediti di dubbia esigibilità (principio 3.3);</w:t>
      </w:r>
    </w:p>
    <w:p w:rsidR="00F36432" w:rsidRDefault="00F3643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2. gli accantonamenti a fronte dei residui passivi perenti (solo per le regioni, fino al loro smaltimento);</w:t>
      </w:r>
    </w:p>
    <w:p w:rsidR="00F36432" w:rsidRDefault="00F3643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3. gli accantonamenti per le passività potenziali (fondi spese e rischi).</w:t>
      </w:r>
    </w:p>
    <w:p w:rsidR="00CE6C1F" w:rsidRDefault="00CE6C1F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36432" w:rsidRDefault="00F3643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La proposta di bilancio 2016-2018 viene presentata </w:t>
      </w:r>
      <w:r w:rsidR="00FA3D52">
        <w:rPr>
          <w:rFonts w:ascii="Calibri" w:hAnsi="Calibri" w:cs="Calibri"/>
          <w:color w:val="000000"/>
          <w:sz w:val="24"/>
          <w:szCs w:val="24"/>
        </w:rPr>
        <w:t>nel nostro caso successivamente alla approvazione</w:t>
      </w:r>
      <w:r>
        <w:rPr>
          <w:rFonts w:ascii="Calibri" w:hAnsi="Calibri" w:cs="Calibri"/>
          <w:color w:val="000000"/>
          <w:sz w:val="24"/>
          <w:szCs w:val="24"/>
        </w:rPr>
        <w:t xml:space="preserve"> del Rendiconto di gest</w:t>
      </w:r>
      <w:r w:rsidR="00FA3D52"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one</w:t>
      </w:r>
      <w:r w:rsidR="00FA3D5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2015 e </w:t>
      </w:r>
      <w:r w:rsidR="00FA3D52">
        <w:rPr>
          <w:rFonts w:ascii="Calibri" w:hAnsi="Calibri" w:cs="Calibri"/>
          <w:color w:val="000000"/>
          <w:sz w:val="24"/>
          <w:szCs w:val="24"/>
        </w:rPr>
        <w:t xml:space="preserve">pertanto </w:t>
      </w:r>
      <w:r w:rsidR="00CE6C1F">
        <w:rPr>
          <w:rFonts w:ascii="Calibri" w:hAnsi="Calibri" w:cs="Calibri"/>
          <w:color w:val="000000"/>
          <w:sz w:val="24"/>
          <w:szCs w:val="24"/>
        </w:rPr>
        <w:t>il</w:t>
      </w:r>
      <w:r>
        <w:rPr>
          <w:rFonts w:ascii="Calibri" w:hAnsi="Calibri" w:cs="Calibri"/>
          <w:color w:val="000000"/>
          <w:sz w:val="24"/>
          <w:szCs w:val="24"/>
        </w:rPr>
        <w:t xml:space="preserve"> dato dell’avanzo di amministrazione</w:t>
      </w:r>
    </w:p>
    <w:p w:rsidR="00F36432" w:rsidRDefault="00F3643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del 2015 </w:t>
      </w:r>
      <w:r w:rsidR="00CE6C1F">
        <w:rPr>
          <w:rFonts w:ascii="Calibri" w:hAnsi="Calibri" w:cs="Calibri"/>
          <w:color w:val="000000"/>
          <w:sz w:val="24"/>
          <w:szCs w:val="24"/>
        </w:rPr>
        <w:t>risulta essere definitivo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F36432" w:rsidRDefault="00F36432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L’equilibrio complessivo della gestione 2016-2018 è stato pertanto conseguito </w:t>
      </w:r>
      <w:r w:rsidR="00CE6C1F">
        <w:rPr>
          <w:rFonts w:ascii="Calibri" w:hAnsi="Calibri" w:cs="Calibri"/>
          <w:color w:val="000000"/>
          <w:sz w:val="24"/>
          <w:szCs w:val="24"/>
        </w:rPr>
        <w:t>applicando parte dell’avanzo di amministrazione proveniente dall’esercizio 2015.</w:t>
      </w:r>
    </w:p>
    <w:p w:rsidR="00F36432" w:rsidRDefault="00CE6C1F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 r</w:t>
      </w:r>
      <w:r w:rsidR="00F36432">
        <w:rPr>
          <w:rFonts w:ascii="Calibri" w:hAnsi="Calibri" w:cs="Calibri"/>
          <w:color w:val="000000"/>
          <w:sz w:val="24"/>
          <w:szCs w:val="24"/>
        </w:rPr>
        <w:t>iporta la tabella dimostrativa del risultato di amministrazione  allegato al bilancio di previsione:</w:t>
      </w:r>
    </w:p>
    <w:p w:rsidR="00701D75" w:rsidRDefault="00701D75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EF4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31CD8" w:rsidRDefault="00F31CD8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701D75">
      <w:pPr>
        <w:pStyle w:val="Normal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 xml:space="preserve">TABELLA DIMOSTRATIVA DEL RISULTATO </w:t>
      </w:r>
      <w:proofErr w:type="spellStart"/>
      <w:r>
        <w:rPr>
          <w:rFonts w:eastAsia="Times New Roman"/>
          <w:b/>
          <w:bCs/>
        </w:rPr>
        <w:t>DI</w:t>
      </w:r>
      <w:proofErr w:type="spellEnd"/>
      <w:r>
        <w:rPr>
          <w:rFonts w:eastAsia="Times New Roman"/>
          <w:b/>
          <w:bCs/>
        </w:rPr>
        <w:t xml:space="preserve"> AMMINISTRAZIONE </w:t>
      </w:r>
    </w:p>
    <w:p w:rsidR="00701D75" w:rsidRDefault="00701D75" w:rsidP="00701D75">
      <w:pPr>
        <w:pStyle w:val="Normal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ESERCIZIO 2016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1"/>
        <w:gridCol w:w="7648"/>
        <w:gridCol w:w="1846"/>
      </w:tblGrid>
      <w:tr w:rsidR="00701D75" w:rsidTr="00891F66">
        <w:tc>
          <w:tcPr>
            <w:tcW w:w="102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F00950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1) Determinazione del risultato di amministrazione al 31/12/2015</w:t>
            </w:r>
          </w:p>
        </w:tc>
      </w:tr>
      <w:tr w:rsidR="00701D75" w:rsidTr="00891F66"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(+)</w:t>
            </w:r>
          </w:p>
        </w:tc>
        <w:tc>
          <w:tcPr>
            <w:tcW w:w="7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Risultato di amministrazione iniziale dell'esercizio 2015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199.936,47</w:t>
            </w:r>
          </w:p>
        </w:tc>
      </w:tr>
      <w:tr w:rsidR="00701D75" w:rsidTr="00891F66"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(+)</w:t>
            </w:r>
          </w:p>
        </w:tc>
        <w:tc>
          <w:tcPr>
            <w:tcW w:w="7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Fondo pluriennale vincolato iniziale dell'esercizio 2015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249.919,79</w:t>
            </w:r>
          </w:p>
        </w:tc>
      </w:tr>
      <w:tr w:rsidR="00701D75" w:rsidTr="00891F66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(+)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Entrate già accertate nell'esercizio 2015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2.120.672,23</w:t>
            </w:r>
          </w:p>
        </w:tc>
      </w:tr>
      <w:tr w:rsidR="00701D75" w:rsidTr="00891F66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(-)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Uscite già impegnate nell'esercizio 2015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2.227.741,06</w:t>
            </w:r>
          </w:p>
        </w:tc>
      </w:tr>
      <w:tr w:rsidR="00701D75" w:rsidTr="00891F66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+/-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Variazioni dei residui attivi già verificatesi nell'esercizio 2015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-22.347,03</w:t>
            </w:r>
          </w:p>
        </w:tc>
      </w:tr>
      <w:tr w:rsidR="00701D75" w:rsidTr="00891F66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-/+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Variazioni dei residui passivi già verificatesi nell'esercizio 2015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-49.749,53</w:t>
            </w:r>
          </w:p>
        </w:tc>
      </w:tr>
      <w:tr w:rsidR="00701D75" w:rsidTr="00891F66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01D75" w:rsidTr="00891F66"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=</w:t>
            </w:r>
          </w:p>
        </w:tc>
        <w:tc>
          <w:tcPr>
            <w:tcW w:w="7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Risultato di amministrazione dell'esercizio 2015 e alla data di redazione del bilancio dell'anno 2016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370.189,93</w:t>
            </w:r>
          </w:p>
        </w:tc>
      </w:tr>
      <w:tr w:rsidR="00701D75" w:rsidTr="00891F66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01D75" w:rsidTr="00891F66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Entrate presunte per il restante periodo dell`esercizio 2015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701D75" w:rsidTr="00891F66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Uscite presunte per il restante periodo dell`esercizio 2015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701D75" w:rsidTr="00891F66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+/-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Variazioni dei residui attivi, presunte per il restante periodo dell`esercizio 2015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701D75" w:rsidTr="00891F66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-/+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Variazioni dei residui passivi, presunte per il restante periodo dell`esercizio 2015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701D75" w:rsidTr="00891F66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Fondo pluriennale vincolato finale presunto dell'esercizio 2015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260.167,52</w:t>
            </w:r>
          </w:p>
        </w:tc>
      </w:tr>
      <w:tr w:rsidR="00701D75" w:rsidTr="00891F66"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01D75" w:rsidTr="00891F66"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=</w:t>
            </w:r>
          </w:p>
        </w:tc>
        <w:tc>
          <w:tcPr>
            <w:tcW w:w="7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F31CD8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A) Risultato di amministrazione al 31/12/2015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110.022,41</w:t>
            </w:r>
          </w:p>
        </w:tc>
      </w:tr>
      <w:tr w:rsidR="00701D75" w:rsidTr="00891F66"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64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14"/>
                <w:szCs w:val="14"/>
              </w:rPr>
            </w:pPr>
          </w:p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14"/>
                <w:szCs w:val="14"/>
              </w:rPr>
            </w:pPr>
          </w:p>
        </w:tc>
      </w:tr>
      <w:tr w:rsidR="00701D75" w:rsidTr="00891F66">
        <w:tc>
          <w:tcPr>
            <w:tcW w:w="8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F00950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2) Composizione del risultato di amministrazione   al 31/12/2015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01D75" w:rsidTr="00891F66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01D75" w:rsidTr="00891F66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Parte accantonata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01D75" w:rsidTr="00891F66">
        <w:trPr>
          <w:trHeight w:val="260"/>
        </w:trPr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Fondo crediti di dubbia esigibilità al 31/12/2015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56.028,20</w:t>
            </w:r>
          </w:p>
        </w:tc>
      </w:tr>
      <w:tr w:rsidR="00701D75" w:rsidTr="00891F66">
        <w:trPr>
          <w:trHeight w:val="260"/>
        </w:trPr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Fondo ....... al 31/12/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701D75" w:rsidTr="00891F66">
        <w:trPr>
          <w:trHeight w:val="260"/>
        </w:trPr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Fondo ....... al 31/12/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701D75" w:rsidTr="00891F66">
        <w:trPr>
          <w:trHeight w:val="260"/>
        </w:trPr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B) Totale parte accantonata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 56.028,20</w:t>
            </w:r>
          </w:p>
        </w:tc>
      </w:tr>
      <w:tr w:rsidR="00701D75" w:rsidTr="00891F66">
        <w:trPr>
          <w:trHeight w:val="275"/>
        </w:trPr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Parte vincolata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01D75" w:rsidTr="00891F66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Vincoli derivanti da leggi e dai principi contabili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2.769,21</w:t>
            </w:r>
          </w:p>
        </w:tc>
      </w:tr>
      <w:tr w:rsidR="00701D75" w:rsidTr="00891F66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Vincoli derivanti da trasferimenti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3.241,56</w:t>
            </w:r>
          </w:p>
        </w:tc>
      </w:tr>
      <w:tr w:rsidR="00701D75" w:rsidTr="00891F66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Vincoli derivanti dalla contrazione di mutui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701D75" w:rsidTr="00891F66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Vincoli formalmente attribuiti dall'ente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19.761,22</w:t>
            </w:r>
          </w:p>
        </w:tc>
      </w:tr>
      <w:tr w:rsidR="00701D75" w:rsidTr="00891F66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Altri vincoli da specificare 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701D75" w:rsidTr="00891F66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C) Totale parte vincolata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  25.771,99</w:t>
            </w:r>
          </w:p>
        </w:tc>
      </w:tr>
      <w:tr w:rsidR="00701D75" w:rsidTr="00891F66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Parte destinata agli investimenti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01D75" w:rsidTr="00891F66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D) Totale destinata a investimenti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      0,00</w:t>
            </w:r>
          </w:p>
        </w:tc>
      </w:tr>
      <w:tr w:rsidR="00701D75" w:rsidTr="00891F66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E) Totale parte disponibile (E=A-B-C-D)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 28.222,22</w:t>
            </w:r>
          </w:p>
        </w:tc>
      </w:tr>
      <w:tr w:rsidR="00701D75" w:rsidTr="00891F66">
        <w:trPr>
          <w:trHeight w:val="470"/>
        </w:trPr>
        <w:tc>
          <w:tcPr>
            <w:tcW w:w="10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701D75"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701D75" w:rsidTr="00891F66">
        <w:tc>
          <w:tcPr>
            <w:tcW w:w="8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F00950">
            <w:pPr>
              <w:pStyle w:val="Normal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3) Utilizzo quote vincolate del risultato di amministrazione  al 31/12/2015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01D75" w:rsidTr="00891F66">
        <w:trPr>
          <w:trHeight w:val="275"/>
        </w:trPr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Utilizzo vincoli derivanti da leggi e dai principi contabili 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2.769,21</w:t>
            </w:r>
          </w:p>
        </w:tc>
      </w:tr>
      <w:tr w:rsidR="00701D75" w:rsidTr="00891F66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Utilizzo vincoli derivanti da trasferimenti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701D75" w:rsidTr="00891F66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Utilizzo vincoli derivanti dalla contrazione di mutui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0,00</w:t>
            </w:r>
          </w:p>
        </w:tc>
      </w:tr>
      <w:tr w:rsidR="00701D75" w:rsidTr="00891F66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Utilizzo vincoli formalmente attribuiti dall'ente 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19.761,22</w:t>
            </w:r>
          </w:p>
        </w:tc>
      </w:tr>
      <w:tr w:rsidR="00701D75" w:rsidTr="00891F66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Utilizzo altri vincoli da specificare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10.653,12</w:t>
            </w:r>
          </w:p>
        </w:tc>
      </w:tr>
      <w:tr w:rsidR="00701D75" w:rsidTr="00891F66">
        <w:tc>
          <w:tcPr>
            <w:tcW w:w="844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F00950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Totale utilizzo avanzo di amministrazione </w:t>
            </w:r>
          </w:p>
        </w:tc>
        <w:tc>
          <w:tcPr>
            <w:tcW w:w="18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1D75" w:rsidRDefault="00701D75" w:rsidP="00891F66"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 33.183,55</w:t>
            </w:r>
          </w:p>
        </w:tc>
      </w:tr>
    </w:tbl>
    <w:p w:rsidR="00701D75" w:rsidRDefault="00701D75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1D75" w:rsidRDefault="00701D75" w:rsidP="00F364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Fondo pluriennale vincolato</w:t>
      </w: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Il FPV è un saldo finanziario costituito da risorse già accertate destinate al finanziamento di obbligazioni</w:t>
      </w:r>
      <w:r w:rsidR="004B753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passive dell’ente già impegnate, ma esigibili in esercizi successivi al quello in cui è stata accertata l’entrata.</w:t>
      </w: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Secondo il nuovo principio contabile della competenza finanziaria potenziata gli impegni finanziati da</w:t>
      </w:r>
      <w:r w:rsidR="004B753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entrate a specifica destinazione, di parte corrente o investimenti, sono imputati negli esercizi in cui</w:t>
      </w:r>
      <w:r w:rsidR="004B753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l’obbligazione diventerà esigibile. Questo comporta che lo stanziamento di spesa riconducibile all’originario</w:t>
      </w:r>
      <w:r w:rsidR="004B753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finanziamento può essere ripartito pro-quota in più esercizi, attraverso l’impiego del cosiddetto “Fondo</w:t>
      </w:r>
      <w:r w:rsidR="004B753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Pluriennale Vincolato”. Il FPV ha proprio lo scopo di fare convivere l’imputazione della spesa secondo</w:t>
      </w:r>
      <w:r w:rsidR="004B753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questo principio (competenza potenziata) con l’esigenza di evitare la formazione di componenti di avanzo</w:t>
      </w:r>
      <w:r w:rsidR="004B753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 disavanzo artificiose, e questo a partire dalla nascita del finanziamento e fino all’esercizio in cui la</w:t>
      </w:r>
      <w:r w:rsidR="00FB3E5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prestazione connessa con l’obbligazione passiva avrà termine. Questa tecnica contabile consente di evitare</w:t>
      </w:r>
      <w:r w:rsidR="00FB3E5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sul nascere la formazione di residui passivi che, nella nuova ottica, hanno origine solo da debiti</w:t>
      </w:r>
      <w:r w:rsidR="00FB3E5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effettivamente liquidi ed esigibili sorti nello stesso esercizio di imputazione contabile. Il fenomeno</w:t>
      </w:r>
      <w:r w:rsidR="00FB3E5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dell'accumulo progressivo di residui attivi e passivi di esito incerto e d’incerta collocazione temporale,</w:t>
      </w: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pertanto, non trova più spazio nel nuovo ordinamento degli enti locali. La normativa in materia contabile</w:t>
      </w:r>
      <w:r w:rsidR="00FB3E5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estende l’impiego della tecnica del fondo pluriennale anche a casistiche diverse da quelle connesse con</w:t>
      </w:r>
      <w:r w:rsidR="00FB3E5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spese finanziate da entrate a specifica destinazione, ma solo per limitati casi e circostanze particolari</w:t>
      </w:r>
      <w:r w:rsidR="00FB3E57">
        <w:rPr>
          <w:rFonts w:ascii="Calibri" w:hAnsi="Calibri" w:cs="Calibri"/>
          <w:color w:val="000000"/>
          <w:sz w:val="24"/>
          <w:szCs w:val="24"/>
        </w:rPr>
        <w:t xml:space="preserve"> e</w:t>
      </w:r>
      <w:r>
        <w:rPr>
          <w:rFonts w:ascii="Calibri" w:hAnsi="Calibri" w:cs="Calibri"/>
          <w:color w:val="000000"/>
          <w:sz w:val="24"/>
          <w:szCs w:val="24"/>
        </w:rPr>
        <w:t>spressamente previste dalla legge.</w:t>
      </w: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Per entrare più nel dettaglio: nella parte spesa, la quota di impegni esigibili nell’esercizio restano imputati</w:t>
      </w:r>
      <w:r w:rsidR="00FB3E5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alle normali poste di spese, mentre il FPV /U accoglie la quota di impegni che si prevede non si tradurranno</w:t>
      </w:r>
      <w:r w:rsidR="00FB3E57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 debito esigibile nell’esercizio di riferimento, in quanto imputabile agli esercizi futuri. L’importo</w:t>
      </w:r>
      <w:r w:rsidR="00491D0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complessivo di questo fondo (FPV/U), dato dalla somma di tutte le voci riconducibili a questa casistica, è</w:t>
      </w:r>
      <w:r w:rsidR="00491D0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stato poi ripreso tra le entrate del bilancio immediatamente successivo (FPV/E) in modo da garantire, sul</w:t>
      </w:r>
      <w:r w:rsidR="00491D0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nuovo esercizio, la copertura della parte dell’originario impegno rinviata al futuro. Viene così ad essere</w:t>
      </w:r>
      <w:r w:rsidR="00491D0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mantenuto in tutti gli anni del bilancio il pareggio tra l’entrata (finanziamento originario oppure fondo</w:t>
      </w:r>
      <w:r w:rsidR="00491D0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pluriennale vincolato in entrata) e la spesa complessiva dell’intervento previsto (somma dell’impegno</w:t>
      </w:r>
      <w:r w:rsidR="00491D0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imputato nell’esercizio di competenza e della parte rinviata al futuro; quest’ultima, collocata nelle poste</w:t>
      </w: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riconducibili al fondo pluriennale di uscita). Il valore complessivo del fondo pluriennale al 31/12 di ciascun</w:t>
      </w:r>
      <w:r w:rsidR="00491D0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esercizio è dato dalla somma delle voci di spesa relative a procedimenti sorti in esercizi precedenti</w:t>
      </w:r>
      <w:r w:rsidR="00491D0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(componenti pregresse del FPV/U) e dalle previsioni di uscita riconducibili al bilancio in corso (componente</w:t>
      </w:r>
      <w:r w:rsidR="00491D0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nuova del FPV/U).</w:t>
      </w: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In fase di predisposizione del bilancio, il FPV </w:t>
      </w:r>
      <w:r w:rsidR="00491D01">
        <w:rPr>
          <w:rFonts w:ascii="Calibri" w:hAnsi="Calibri" w:cs="Calibri"/>
          <w:color w:val="000000"/>
          <w:sz w:val="24"/>
          <w:szCs w:val="24"/>
        </w:rPr>
        <w:t xml:space="preserve">iscritto in entrata per l’anno 2016 ammonta ad euro 74.881,00 relativamente a copertura di spese correnti e ad euro 185.286,52 per la copertura di spese in conto capitale. </w:t>
      </w: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Elenco degli interventi programmati per spese di investimento finanziati con il ricorso al debito e con le</w:t>
      </w:r>
      <w:r w:rsidR="00491D01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risorse disponibili</w:t>
      </w: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Nell’ambito del nuovo documento di programmazione finanziaria non sono previsti interventi finanziati</w:t>
      </w:r>
      <w:r w:rsidR="00491D0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 ricorso all’indebitamento.</w:t>
      </w: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Per il dettaglio della programmazione degli investimenti affrontati con altre risorse disponibili e altri</w:t>
      </w:r>
      <w:r w:rsidR="00491D0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finanziamenti si rinvia all’apposita sezione del Documento unico di programmazione.</w:t>
      </w: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Elenco delle garanzie principali o sussidiarie prestate dall’ente a favore di enti e di altri soggetti ai </w:t>
      </w:r>
      <w:proofErr w:type="spellStart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sensidelle</w:t>
      </w:r>
      <w:proofErr w:type="spell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leggi vigenti</w:t>
      </w: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 Comune di </w:t>
      </w:r>
      <w:proofErr w:type="spellStart"/>
      <w:r w:rsidR="00491D01">
        <w:rPr>
          <w:rFonts w:ascii="Calibri" w:hAnsi="Calibri" w:cs="Calibri"/>
          <w:color w:val="000000"/>
          <w:sz w:val="24"/>
          <w:szCs w:val="24"/>
        </w:rPr>
        <w:t>Scillato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non ha rilasciato alcuna garanzia.</w:t>
      </w:r>
    </w:p>
    <w:p w:rsidR="001E035A" w:rsidRDefault="001E035A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lastRenderedPageBreak/>
        <w:t>Oneri e impegni finanziari stimati e stanziati in bilancio, derivanti da contratti relativi a strumenti</w:t>
      </w:r>
      <w:r w:rsidR="00F00950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finanziari derivati o da contratti di finanziamento che includono una componente derivata</w:t>
      </w: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L’Ente non ha stipulato contratti relativi a strumenti finanziari derivati o comunque contratti di</w:t>
      </w: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finanziamento che includono una componente derivata.</w:t>
      </w:r>
    </w:p>
    <w:p w:rsidR="001E035A" w:rsidRDefault="001E035A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Elenco delle società possedut</w:t>
      </w:r>
      <w:r w:rsidR="001E035A">
        <w:rPr>
          <w:rFonts w:ascii="Calibri,Bold" w:hAnsi="Calibri,Bold" w:cs="Calibri,Bold"/>
          <w:b/>
          <w:bCs/>
          <w:color w:val="000000"/>
          <w:sz w:val="24"/>
          <w:szCs w:val="24"/>
        </w:rPr>
        <w:t>e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con l’indicazione della relativa quota percentuale</w:t>
      </w:r>
    </w:p>
    <w:p w:rsidR="001E035A" w:rsidRDefault="001E035A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1E035A" w:rsidRPr="001E035A" w:rsidRDefault="001E035A" w:rsidP="00F009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-Roman" w:hAnsi="Times-Roman" w:cs="Times New Roman"/>
          <w:bCs/>
        </w:rPr>
      </w:pPr>
      <w:r>
        <w:rPr>
          <w:rFonts w:ascii="Times-Roman" w:hAnsi="Times-Roman" w:cs="Times New Roman"/>
          <w:bCs/>
        </w:rPr>
        <w:t xml:space="preserve">Le società con quote di partecipazione del Comune </w:t>
      </w:r>
      <w:r w:rsidRPr="001E035A">
        <w:rPr>
          <w:rFonts w:ascii="Times-Roman" w:hAnsi="Times-Roman" w:cs="Times New Roman"/>
          <w:bCs/>
        </w:rPr>
        <w:t xml:space="preserve"> sono </w:t>
      </w:r>
      <w:r>
        <w:rPr>
          <w:rFonts w:ascii="Times-Roman" w:hAnsi="Times-Roman" w:cs="Times New Roman"/>
          <w:bCs/>
        </w:rPr>
        <w:t>le</w:t>
      </w:r>
      <w:r w:rsidRPr="001E035A">
        <w:rPr>
          <w:rFonts w:ascii="Times-Roman" w:hAnsi="Times-Roman" w:cs="Times New Roman"/>
          <w:bCs/>
        </w:rPr>
        <w:t xml:space="preserve"> seguenti:</w:t>
      </w:r>
    </w:p>
    <w:tbl>
      <w:tblPr>
        <w:tblW w:w="5000" w:type="pct"/>
        <w:tblCellMar>
          <w:left w:w="30" w:type="dxa"/>
          <w:right w:w="40" w:type="dxa"/>
        </w:tblCellMar>
        <w:tblLook w:val="0000"/>
      </w:tblPr>
      <w:tblGrid>
        <w:gridCol w:w="7118"/>
        <w:gridCol w:w="2580"/>
      </w:tblGrid>
      <w:tr w:rsidR="001E035A" w:rsidTr="001E035A"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E035A" w:rsidRDefault="001E035A" w:rsidP="00F009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 w:cs="Times New Roman"/>
                <w:b/>
                <w:bCs/>
              </w:rPr>
            </w:pPr>
            <w:r w:rsidRPr="001E035A">
              <w:rPr>
                <w:rFonts w:ascii="Times-Roman" w:hAnsi="Times-Roman" w:cs="Times New Roman"/>
                <w:bCs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</w:rPr>
              <w:t>Societa’</w:t>
            </w:r>
            <w:proofErr w:type="spellEnd"/>
            <w:r>
              <w:rPr>
                <w:rFonts w:eastAsia="Times New Roman" w:cs="Times New Roman"/>
                <w:bCs/>
              </w:rPr>
              <w:t xml:space="preserve"> ed organismi gestionali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E035A" w:rsidRDefault="001E035A" w:rsidP="00F009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Cs/>
              </w:rPr>
              <w:t>% Quote</w:t>
            </w:r>
          </w:p>
        </w:tc>
      </w:tr>
      <w:tr w:rsidR="001E035A" w:rsidTr="001E035A">
        <w:tblPrEx>
          <w:tblCellMar>
            <w:right w:w="30" w:type="dxa"/>
          </w:tblCellMar>
        </w:tblPrEx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035A" w:rsidRDefault="001E035A" w:rsidP="00F009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 w:cs="Times New Roman"/>
                <w:b/>
                <w:bCs/>
                <w:sz w:val="18"/>
              </w:rPr>
            </w:pPr>
            <w:r>
              <w:rPr>
                <w:rFonts w:eastAsia="Times New Roman" w:cs="Times New Roman"/>
                <w:b/>
                <w:bCs/>
                <w:sz w:val="18"/>
              </w:rPr>
              <w:t>ATO ECOLOGIA E AMBIENTE SPA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035A" w:rsidRDefault="001E035A" w:rsidP="00F009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 w:cs="Times New Roman"/>
                <w:b/>
                <w:bCs/>
                <w:sz w:val="18"/>
              </w:rPr>
            </w:pPr>
            <w:r>
              <w:rPr>
                <w:rFonts w:eastAsia="Times New Roman" w:cs="Times New Roman"/>
                <w:b/>
                <w:bCs/>
                <w:sz w:val="18"/>
              </w:rPr>
              <w:t>0,622</w:t>
            </w:r>
          </w:p>
        </w:tc>
      </w:tr>
      <w:tr w:rsidR="001E035A" w:rsidTr="001E035A">
        <w:tblPrEx>
          <w:tblCellMar>
            <w:right w:w="30" w:type="dxa"/>
          </w:tblCellMar>
        </w:tblPrEx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035A" w:rsidRDefault="001E035A" w:rsidP="00F009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8"/>
              </w:rPr>
              <w:t>SO.SVI.MA</w:t>
            </w:r>
            <w:proofErr w:type="spellEnd"/>
            <w:r>
              <w:rPr>
                <w:rFonts w:eastAsia="Times New Roman" w:cs="Times New Roman"/>
                <w:b/>
                <w:bCs/>
                <w:sz w:val="18"/>
              </w:rPr>
              <w:t xml:space="preserve"> SPA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035A" w:rsidRDefault="001E035A" w:rsidP="00F009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 w:cs="Times New Roman"/>
                <w:b/>
                <w:bCs/>
                <w:sz w:val="18"/>
              </w:rPr>
            </w:pPr>
            <w:r>
              <w:rPr>
                <w:rFonts w:eastAsia="Times New Roman" w:cs="Times New Roman"/>
                <w:b/>
                <w:bCs/>
                <w:sz w:val="18"/>
              </w:rPr>
              <w:t>1,220</w:t>
            </w:r>
          </w:p>
        </w:tc>
      </w:tr>
      <w:tr w:rsidR="001E035A" w:rsidTr="001E035A">
        <w:tblPrEx>
          <w:tblCellMar>
            <w:right w:w="30" w:type="dxa"/>
          </w:tblCellMar>
        </w:tblPrEx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035A" w:rsidRDefault="001E035A" w:rsidP="00F009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8"/>
              </w:rPr>
              <w:t>S.R.R.</w:t>
            </w:r>
            <w:proofErr w:type="spellEnd"/>
            <w:r>
              <w:rPr>
                <w:rFonts w:eastAsia="Times New Roman" w:cs="Times New Roman"/>
                <w:b/>
                <w:bCs/>
                <w:sz w:val="18"/>
              </w:rPr>
              <w:t xml:space="preserve"> SOCIETA' CONSORTILE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035A" w:rsidRDefault="001E035A" w:rsidP="00F009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eastAsia="Times New Roman" w:cs="Times New Roman"/>
                <w:b/>
                <w:bCs/>
                <w:sz w:val="18"/>
              </w:rPr>
            </w:pPr>
            <w:r>
              <w:rPr>
                <w:rFonts w:eastAsia="Times New Roman" w:cs="Times New Roman"/>
                <w:b/>
                <w:bCs/>
                <w:sz w:val="18"/>
              </w:rPr>
              <w:t>0,400</w:t>
            </w:r>
          </w:p>
        </w:tc>
      </w:tr>
    </w:tbl>
    <w:p w:rsidR="001E035A" w:rsidRDefault="001E035A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1E035A" w:rsidRPr="001E035A" w:rsidRDefault="001E035A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4"/>
          <w:szCs w:val="24"/>
        </w:rPr>
      </w:pPr>
      <w:r w:rsidRPr="001E035A">
        <w:rPr>
          <w:rFonts w:ascii="Calibri,Bold" w:hAnsi="Calibri,Bold" w:cs="Calibri,Bold"/>
          <w:bCs/>
          <w:color w:val="000000"/>
          <w:sz w:val="24"/>
          <w:szCs w:val="24"/>
        </w:rPr>
        <w:t xml:space="preserve">Si fa presente che i bilanci di dette società sono pubblicati sul sito del Comune all’indirizzo: </w:t>
      </w:r>
      <w:r w:rsidRPr="001E035A">
        <w:rPr>
          <w:rFonts w:ascii="Arial" w:hAnsi="Arial" w:cs="Arial"/>
          <w:color w:val="006621"/>
          <w:sz w:val="21"/>
          <w:szCs w:val="21"/>
          <w:shd w:val="clear" w:color="auto" w:fill="FFFFFF"/>
        </w:rPr>
        <w:t>www.</w:t>
      </w:r>
      <w:r w:rsidRPr="001E035A">
        <w:rPr>
          <w:rFonts w:ascii="Arial" w:hAnsi="Arial" w:cs="Arial"/>
          <w:bCs/>
          <w:color w:val="006621"/>
          <w:sz w:val="21"/>
          <w:szCs w:val="21"/>
          <w:shd w:val="clear" w:color="auto" w:fill="FFFFFF"/>
        </w:rPr>
        <w:t>scillato</w:t>
      </w:r>
      <w:r w:rsidRPr="001E035A">
        <w:rPr>
          <w:rFonts w:ascii="Arial" w:hAnsi="Arial" w:cs="Arial"/>
          <w:color w:val="006621"/>
          <w:sz w:val="21"/>
          <w:szCs w:val="21"/>
          <w:shd w:val="clear" w:color="auto" w:fill="FFFFFF"/>
        </w:rPr>
        <w:t>.gov.it/</w:t>
      </w:r>
      <w:r w:rsidRPr="001E035A">
        <w:rPr>
          <w:rFonts w:ascii="Calibri,Bold" w:hAnsi="Calibri,Bold" w:cs="Calibri,Bold"/>
          <w:bCs/>
          <w:color w:val="000000"/>
          <w:sz w:val="24"/>
          <w:szCs w:val="24"/>
        </w:rPr>
        <w:t xml:space="preserve"> </w:t>
      </w:r>
    </w:p>
    <w:p w:rsidR="001E035A" w:rsidRDefault="001E035A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Altre informazioni riguardanti le previsioni, richieste dalla legge o necessarie per l’interpretazione del</w:t>
      </w:r>
      <w:r w:rsidR="001E035A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bilancio</w:t>
      </w:r>
    </w:p>
    <w:p w:rsidR="00294EE5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Vengono allegate al bilancio</w:t>
      </w:r>
      <w:r w:rsidR="001E035A">
        <w:rPr>
          <w:rFonts w:ascii="Calibri" w:hAnsi="Calibri" w:cs="Calibri"/>
          <w:color w:val="000000"/>
          <w:sz w:val="24"/>
          <w:szCs w:val="24"/>
        </w:rPr>
        <w:t xml:space="preserve"> di previsione </w:t>
      </w:r>
      <w:r w:rsidR="00294EE5">
        <w:rPr>
          <w:rFonts w:ascii="Calibri" w:hAnsi="Calibri" w:cs="Calibri"/>
          <w:color w:val="000000"/>
          <w:sz w:val="24"/>
          <w:szCs w:val="24"/>
        </w:rPr>
        <w:t>:</w:t>
      </w:r>
    </w:p>
    <w:p w:rsidR="00294EE5" w:rsidRDefault="00294EE5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 prospetto esplicativo del presunto risultato di amministrazione (All. A)</w:t>
      </w:r>
    </w:p>
    <w:p w:rsidR="00294EE5" w:rsidRDefault="00294EE5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 prospetto concernente la composizione, per missioni e programmi, del fondo</w:t>
      </w:r>
    </w:p>
    <w:p w:rsidR="00294EE5" w:rsidRDefault="00294EE5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pluriennale vincolato(</w:t>
      </w:r>
      <w:proofErr w:type="spellStart"/>
      <w:r>
        <w:rPr>
          <w:rFonts w:ascii="Times New Roman" w:hAnsi="Times New Roman" w:cs="Times New Roman"/>
          <w:sz w:val="24"/>
          <w:szCs w:val="24"/>
        </w:rPr>
        <w:t>ALL.B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94EE5" w:rsidRDefault="00294EE5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 prospetto concernente la composizione del fondo crediti di dubbia esigibilità(</w:t>
      </w:r>
      <w:proofErr w:type="spellStart"/>
      <w:r>
        <w:rPr>
          <w:rFonts w:ascii="Times New Roman" w:hAnsi="Times New Roman" w:cs="Times New Roman"/>
          <w:sz w:val="24"/>
          <w:szCs w:val="24"/>
        </w:rPr>
        <w:t>All.C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94EE5" w:rsidRDefault="00294EE5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 prospetto dimostrativo del rispetto dei vincoli di indebitamento (All. D);</w:t>
      </w:r>
    </w:p>
    <w:p w:rsidR="00294EE5" w:rsidRDefault="00294EE5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 prospetto di verifica dei vincoli di finanza pubblica (All. E);</w:t>
      </w:r>
    </w:p>
    <w:p w:rsidR="00294EE5" w:rsidRDefault="00294EE5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presente nota integrativa contenente gli elementi previsti dal principio contabile applicato</w:t>
      </w:r>
    </w:p>
    <w:p w:rsidR="00294EE5" w:rsidRDefault="00294EE5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della programmazione (All. F).</w:t>
      </w:r>
    </w:p>
    <w:p w:rsidR="00294EE5" w:rsidRDefault="00294EE5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36432" w:rsidRDefault="00F36432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i prospetti relativi all’utilizzo dei contributi e dei trasferimenti da parte degli</w:t>
      </w:r>
      <w:r w:rsidR="00294EE5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organismi comunitari ed internazionali e quello delle funzioni delegate dalla Regione </w:t>
      </w:r>
      <w:r w:rsidR="00294EE5">
        <w:rPr>
          <w:rFonts w:ascii="Calibri" w:hAnsi="Calibri" w:cs="Calibri"/>
          <w:color w:val="000000"/>
          <w:sz w:val="24"/>
          <w:szCs w:val="24"/>
        </w:rPr>
        <w:t>non vengono predisposti in quanto non sono previsti finanziamenti in tal senso</w:t>
      </w:r>
      <w:r w:rsidR="00F00950">
        <w:rPr>
          <w:rFonts w:ascii="Calibri" w:hAnsi="Calibri" w:cs="Calibri"/>
          <w:color w:val="000000"/>
          <w:sz w:val="24"/>
          <w:szCs w:val="24"/>
        </w:rPr>
        <w:t>.</w:t>
      </w:r>
    </w:p>
    <w:p w:rsidR="00F00950" w:rsidRDefault="00F00950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36432" w:rsidRDefault="00294EE5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Scillato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li</w:t>
      </w:r>
    </w:p>
    <w:p w:rsidR="00F00950" w:rsidRDefault="00294EE5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</w:t>
      </w:r>
    </w:p>
    <w:p w:rsidR="00F36432" w:rsidRDefault="00F00950" w:rsidP="00F00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</w:t>
      </w:r>
      <w:r w:rsidR="00294EE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36432">
        <w:rPr>
          <w:rFonts w:ascii="Calibri" w:hAnsi="Calibri" w:cs="Calibri"/>
          <w:color w:val="000000"/>
          <w:sz w:val="24"/>
          <w:szCs w:val="24"/>
        </w:rPr>
        <w:t>Il responsabile del servizio finanziario</w:t>
      </w:r>
    </w:p>
    <w:p w:rsidR="00D013AC" w:rsidRDefault="00294EE5" w:rsidP="00F00950">
      <w:pPr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</w:t>
      </w:r>
      <w:r w:rsidR="00EF5411">
        <w:rPr>
          <w:rFonts w:ascii="Calibri" w:hAnsi="Calibri" w:cs="Calibri"/>
          <w:color w:val="000000"/>
          <w:sz w:val="24"/>
          <w:szCs w:val="24"/>
        </w:rPr>
        <w:t xml:space="preserve">      </w:t>
      </w:r>
      <w:r w:rsidR="00F3643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Rag. Santo Di Stefano</w:t>
      </w:r>
    </w:p>
    <w:sectPr w:rsidR="00D013AC" w:rsidSect="00D01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C1172"/>
    <w:multiLevelType w:val="hybridMultilevel"/>
    <w:tmpl w:val="279E607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60022"/>
    <w:multiLevelType w:val="hybridMultilevel"/>
    <w:tmpl w:val="0F325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F36432"/>
    <w:rsid w:val="00082DFE"/>
    <w:rsid w:val="00114EC7"/>
    <w:rsid w:val="00156D70"/>
    <w:rsid w:val="001E035A"/>
    <w:rsid w:val="00294EE5"/>
    <w:rsid w:val="00491D01"/>
    <w:rsid w:val="004B7539"/>
    <w:rsid w:val="004C4465"/>
    <w:rsid w:val="006052A3"/>
    <w:rsid w:val="006B51B9"/>
    <w:rsid w:val="00701D75"/>
    <w:rsid w:val="0074033C"/>
    <w:rsid w:val="00895F09"/>
    <w:rsid w:val="00992253"/>
    <w:rsid w:val="00A91C1E"/>
    <w:rsid w:val="00C230A8"/>
    <w:rsid w:val="00CA1999"/>
    <w:rsid w:val="00CE6C1F"/>
    <w:rsid w:val="00D013AC"/>
    <w:rsid w:val="00D75282"/>
    <w:rsid w:val="00DC7C2C"/>
    <w:rsid w:val="00DD4233"/>
    <w:rsid w:val="00DE0B46"/>
    <w:rsid w:val="00E86F9C"/>
    <w:rsid w:val="00EF42C2"/>
    <w:rsid w:val="00EF5411"/>
    <w:rsid w:val="00F00950"/>
    <w:rsid w:val="00F31CD8"/>
    <w:rsid w:val="00F36432"/>
    <w:rsid w:val="00FA3D52"/>
    <w:rsid w:val="00FB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3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F09"/>
    <w:pPr>
      <w:ind w:left="720"/>
      <w:contextualSpacing/>
    </w:pPr>
  </w:style>
  <w:style w:type="paragraph" w:customStyle="1" w:styleId="Normal">
    <w:name w:val="[Normal]"/>
    <w:next w:val="Normale"/>
    <w:uiPriority w:val="99"/>
    <w:rsid w:val="0070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4052</Words>
  <Characters>23102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</dc:creator>
  <cp:lastModifiedBy>santo</cp:lastModifiedBy>
  <cp:revision>8</cp:revision>
  <cp:lastPrinted>2016-08-11T09:24:00Z</cp:lastPrinted>
  <dcterms:created xsi:type="dcterms:W3CDTF">2016-05-04T09:56:00Z</dcterms:created>
  <dcterms:modified xsi:type="dcterms:W3CDTF">2016-08-17T16:16:00Z</dcterms:modified>
</cp:coreProperties>
</file>